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0"/>
        <w:gridCol w:w="1260"/>
        <w:gridCol w:w="1170"/>
        <w:gridCol w:w="6390"/>
      </w:tblGrid>
      <w:tr w:rsidR="00067FE2" w14:paraId="682C46D5" w14:textId="77777777" w:rsidTr="009F2A00">
        <w:tc>
          <w:tcPr>
            <w:tcW w:w="1620" w:type="dxa"/>
            <w:tcBorders>
              <w:bottom w:val="single" w:sz="4" w:space="0" w:color="auto"/>
            </w:tcBorders>
            <w:shd w:val="clear" w:color="auto" w:fill="FFFFFF"/>
            <w:vAlign w:val="center"/>
          </w:tcPr>
          <w:p w14:paraId="264FBCD3" w14:textId="77777777" w:rsidR="00067FE2" w:rsidRDefault="009F2A00" w:rsidP="009E5F2F">
            <w:pPr>
              <w:pStyle w:val="Header"/>
              <w:spacing w:before="120" w:after="120"/>
            </w:pPr>
            <w:r>
              <w:t>VCM</w:t>
            </w:r>
            <w:r w:rsidR="00067FE2">
              <w:t>RR Number</w:t>
            </w:r>
          </w:p>
        </w:tc>
        <w:tc>
          <w:tcPr>
            <w:tcW w:w="1260" w:type="dxa"/>
            <w:tcBorders>
              <w:bottom w:val="single" w:sz="4" w:space="0" w:color="auto"/>
            </w:tcBorders>
            <w:vAlign w:val="center"/>
          </w:tcPr>
          <w:p w14:paraId="5C0BA8B1" w14:textId="648CA954" w:rsidR="00067FE2" w:rsidRDefault="00C15A93" w:rsidP="009E5F2F">
            <w:pPr>
              <w:pStyle w:val="Header"/>
              <w:spacing w:before="120" w:after="120"/>
              <w:jc w:val="center"/>
            </w:pPr>
            <w:hyperlink r:id="rId11" w:history="1">
              <w:r w:rsidR="00BC35DD" w:rsidRPr="00BC35DD">
                <w:rPr>
                  <w:rStyle w:val="Hyperlink"/>
                </w:rPr>
                <w:t>042</w:t>
              </w:r>
            </w:hyperlink>
          </w:p>
        </w:tc>
        <w:tc>
          <w:tcPr>
            <w:tcW w:w="1170" w:type="dxa"/>
            <w:tcBorders>
              <w:bottom w:val="single" w:sz="4" w:space="0" w:color="auto"/>
            </w:tcBorders>
            <w:shd w:val="clear" w:color="auto" w:fill="FFFFFF"/>
            <w:vAlign w:val="center"/>
          </w:tcPr>
          <w:p w14:paraId="4653776D" w14:textId="77777777" w:rsidR="00067FE2" w:rsidRDefault="009F2A00" w:rsidP="009E5F2F">
            <w:pPr>
              <w:pStyle w:val="Header"/>
              <w:spacing w:before="120" w:after="120"/>
            </w:pPr>
            <w:r>
              <w:t>VCM</w:t>
            </w:r>
            <w:r w:rsidR="00067FE2">
              <w:t>RR Title</w:t>
            </w:r>
          </w:p>
        </w:tc>
        <w:tc>
          <w:tcPr>
            <w:tcW w:w="6390" w:type="dxa"/>
            <w:tcBorders>
              <w:bottom w:val="single" w:sz="4" w:space="0" w:color="auto"/>
            </w:tcBorders>
            <w:vAlign w:val="center"/>
          </w:tcPr>
          <w:p w14:paraId="0B19645F" w14:textId="442BC17A" w:rsidR="00067FE2" w:rsidRPr="00827A78" w:rsidRDefault="00827A78" w:rsidP="009E5F2F">
            <w:pPr>
              <w:pStyle w:val="Header"/>
              <w:spacing w:before="120" w:after="120"/>
            </w:pPr>
            <w:r>
              <w:t>SO</w:t>
            </w:r>
            <w:r>
              <w:rPr>
                <w:vertAlign w:val="subscript"/>
              </w:rPr>
              <w:t xml:space="preserve">2 </w:t>
            </w:r>
            <w:r>
              <w:t>and NO</w:t>
            </w:r>
            <w:r>
              <w:rPr>
                <w:vertAlign w:val="subscript"/>
              </w:rPr>
              <w:t xml:space="preserve">x </w:t>
            </w:r>
            <w:r>
              <w:t>Emission Index Prices Used in Verifiable Cost Calculations</w:t>
            </w:r>
          </w:p>
        </w:tc>
      </w:tr>
      <w:tr w:rsidR="00067FE2" w:rsidRPr="00E01925" w14:paraId="57031F3F" w14:textId="77777777" w:rsidTr="00BC2D06">
        <w:trPr>
          <w:trHeight w:val="518"/>
        </w:trPr>
        <w:tc>
          <w:tcPr>
            <w:tcW w:w="2880" w:type="dxa"/>
            <w:gridSpan w:val="2"/>
            <w:shd w:val="clear" w:color="auto" w:fill="FFFFFF"/>
            <w:vAlign w:val="center"/>
          </w:tcPr>
          <w:p w14:paraId="05A64DAC" w14:textId="77777777" w:rsidR="00067FE2" w:rsidRPr="00E01925" w:rsidRDefault="00067FE2" w:rsidP="009E5F2F">
            <w:pPr>
              <w:pStyle w:val="Header"/>
              <w:spacing w:before="120" w:after="120"/>
              <w:rPr>
                <w:bCs w:val="0"/>
              </w:rPr>
            </w:pPr>
            <w:r w:rsidRPr="00E01925">
              <w:rPr>
                <w:bCs w:val="0"/>
              </w:rPr>
              <w:t>Date Posted</w:t>
            </w:r>
          </w:p>
        </w:tc>
        <w:tc>
          <w:tcPr>
            <w:tcW w:w="7560" w:type="dxa"/>
            <w:gridSpan w:val="2"/>
            <w:vAlign w:val="center"/>
          </w:tcPr>
          <w:p w14:paraId="57FE6F5D" w14:textId="352FEEFB" w:rsidR="00067FE2" w:rsidRPr="00E01925" w:rsidRDefault="009E5F2F" w:rsidP="009E5F2F">
            <w:pPr>
              <w:pStyle w:val="NormalArial"/>
              <w:spacing w:before="120" w:after="120"/>
            </w:pPr>
            <w:r>
              <w:t>July 23, 2024</w:t>
            </w:r>
          </w:p>
        </w:tc>
      </w:tr>
      <w:tr w:rsidR="00067FE2" w14:paraId="02E8C1D3" w14:textId="77777777" w:rsidTr="00BC2D06">
        <w:trPr>
          <w:trHeight w:val="323"/>
        </w:trPr>
        <w:tc>
          <w:tcPr>
            <w:tcW w:w="2880" w:type="dxa"/>
            <w:gridSpan w:val="2"/>
            <w:tcBorders>
              <w:top w:val="single" w:sz="4" w:space="0" w:color="auto"/>
              <w:left w:val="nil"/>
              <w:bottom w:val="nil"/>
              <w:right w:val="nil"/>
            </w:tcBorders>
            <w:shd w:val="clear" w:color="auto" w:fill="FFFFFF"/>
            <w:vAlign w:val="center"/>
          </w:tcPr>
          <w:p w14:paraId="2DD29346" w14:textId="77777777" w:rsidR="00067FE2" w:rsidRDefault="00067FE2" w:rsidP="00F44236">
            <w:pPr>
              <w:pStyle w:val="NormalArial"/>
            </w:pPr>
          </w:p>
        </w:tc>
        <w:tc>
          <w:tcPr>
            <w:tcW w:w="7560" w:type="dxa"/>
            <w:gridSpan w:val="2"/>
            <w:tcBorders>
              <w:top w:val="nil"/>
              <w:left w:val="nil"/>
              <w:bottom w:val="nil"/>
              <w:right w:val="nil"/>
            </w:tcBorders>
            <w:vAlign w:val="center"/>
          </w:tcPr>
          <w:p w14:paraId="0268A0AD" w14:textId="77777777" w:rsidR="00067FE2" w:rsidRDefault="00067FE2" w:rsidP="00F44236">
            <w:pPr>
              <w:pStyle w:val="NormalArial"/>
            </w:pPr>
          </w:p>
        </w:tc>
      </w:tr>
      <w:tr w:rsidR="009D17F0" w14:paraId="68CB6391" w14:textId="77777777" w:rsidTr="00F44236">
        <w:trPr>
          <w:trHeight w:val="773"/>
        </w:trPr>
        <w:tc>
          <w:tcPr>
            <w:tcW w:w="2880" w:type="dxa"/>
            <w:gridSpan w:val="2"/>
            <w:tcBorders>
              <w:top w:val="single" w:sz="4" w:space="0" w:color="auto"/>
              <w:bottom w:val="single" w:sz="4" w:space="0" w:color="auto"/>
            </w:tcBorders>
            <w:shd w:val="clear" w:color="auto" w:fill="FFFFFF"/>
            <w:vAlign w:val="center"/>
          </w:tcPr>
          <w:p w14:paraId="36607F3E" w14:textId="77777777" w:rsidR="009D17F0" w:rsidRDefault="009D17F0" w:rsidP="009E5F2F">
            <w:pPr>
              <w:pStyle w:val="Header"/>
              <w:spacing w:before="120" w:after="120"/>
            </w:pPr>
            <w:r>
              <w:t xml:space="preserve">Requested Resolution </w:t>
            </w:r>
          </w:p>
        </w:tc>
        <w:tc>
          <w:tcPr>
            <w:tcW w:w="7560" w:type="dxa"/>
            <w:gridSpan w:val="2"/>
            <w:tcBorders>
              <w:top w:val="single" w:sz="4" w:space="0" w:color="auto"/>
            </w:tcBorders>
            <w:vAlign w:val="center"/>
          </w:tcPr>
          <w:p w14:paraId="2EFE31DB" w14:textId="2458FFE7" w:rsidR="009D17F0" w:rsidRPr="00FB509B" w:rsidRDefault="0066370F" w:rsidP="009E5F2F">
            <w:pPr>
              <w:pStyle w:val="NormalArial"/>
              <w:spacing w:before="120" w:after="120"/>
            </w:pPr>
            <w:r w:rsidRPr="00FB509B">
              <w:t xml:space="preserve">Normal </w:t>
            </w:r>
          </w:p>
        </w:tc>
      </w:tr>
      <w:tr w:rsidR="009D17F0" w14:paraId="47692D39" w14:textId="77777777" w:rsidTr="00F44236">
        <w:trPr>
          <w:trHeight w:val="773"/>
        </w:trPr>
        <w:tc>
          <w:tcPr>
            <w:tcW w:w="2880" w:type="dxa"/>
            <w:gridSpan w:val="2"/>
            <w:tcBorders>
              <w:top w:val="single" w:sz="4" w:space="0" w:color="auto"/>
              <w:bottom w:val="single" w:sz="4" w:space="0" w:color="auto"/>
            </w:tcBorders>
            <w:shd w:val="clear" w:color="auto" w:fill="FFFFFF"/>
            <w:vAlign w:val="center"/>
          </w:tcPr>
          <w:p w14:paraId="5DB796AD" w14:textId="77777777" w:rsidR="009D17F0" w:rsidRDefault="009F2A00" w:rsidP="009E5F2F">
            <w:pPr>
              <w:pStyle w:val="Header"/>
              <w:spacing w:before="120" w:after="120"/>
            </w:pPr>
            <w:r>
              <w:t>Verifiable Cost Manual</w:t>
            </w:r>
            <w:r w:rsidR="0007682E">
              <w:t xml:space="preserve"> Sections</w:t>
            </w:r>
            <w:r w:rsidR="009D17F0">
              <w:t xml:space="preserve"> Requiring Revision </w:t>
            </w:r>
          </w:p>
        </w:tc>
        <w:tc>
          <w:tcPr>
            <w:tcW w:w="7560" w:type="dxa"/>
            <w:gridSpan w:val="2"/>
            <w:tcBorders>
              <w:top w:val="single" w:sz="4" w:space="0" w:color="auto"/>
            </w:tcBorders>
            <w:vAlign w:val="center"/>
          </w:tcPr>
          <w:p w14:paraId="4AF9DADA" w14:textId="77777777" w:rsidR="008C429A" w:rsidRPr="008C429A" w:rsidRDefault="008C429A" w:rsidP="008C429A">
            <w:pPr>
              <w:pStyle w:val="NormalArial"/>
              <w:spacing w:before="120"/>
              <w:rPr>
                <w:color w:val="000000"/>
              </w:rPr>
            </w:pPr>
            <w:bookmarkStart w:id="0" w:name="_Toc67045629"/>
            <w:r w:rsidRPr="008C429A">
              <w:rPr>
                <w:color w:val="000000"/>
              </w:rPr>
              <w:t>2.6, Additional Rules for Submitting Emission Costs</w:t>
            </w:r>
            <w:bookmarkEnd w:id="0"/>
          </w:p>
          <w:p w14:paraId="671C655A" w14:textId="6E4DCA70" w:rsidR="009D17F0" w:rsidRPr="00FB509B" w:rsidRDefault="008C429A" w:rsidP="009E5F2F">
            <w:pPr>
              <w:pStyle w:val="NormalArial"/>
              <w:spacing w:after="120"/>
            </w:pPr>
            <w:r w:rsidRPr="008C429A">
              <w:rPr>
                <w:color w:val="000000"/>
              </w:rPr>
              <w:t>Appendix 5, Specification of Relevant Equations</w:t>
            </w:r>
          </w:p>
        </w:tc>
      </w:tr>
      <w:tr w:rsidR="00C9766A" w14:paraId="65F9FF44" w14:textId="77777777" w:rsidTr="00BC2D06">
        <w:trPr>
          <w:trHeight w:val="518"/>
        </w:trPr>
        <w:tc>
          <w:tcPr>
            <w:tcW w:w="2880" w:type="dxa"/>
            <w:gridSpan w:val="2"/>
            <w:tcBorders>
              <w:bottom w:val="single" w:sz="4" w:space="0" w:color="auto"/>
            </w:tcBorders>
            <w:shd w:val="clear" w:color="auto" w:fill="FFFFFF"/>
            <w:vAlign w:val="center"/>
          </w:tcPr>
          <w:p w14:paraId="28F8C364" w14:textId="77777777" w:rsidR="00C9766A" w:rsidRDefault="00625E5D" w:rsidP="009E5F2F">
            <w:pPr>
              <w:pStyle w:val="Header"/>
              <w:spacing w:before="120" w:after="120"/>
            </w:pPr>
            <w:r>
              <w:t xml:space="preserve">Related Documents </w:t>
            </w:r>
            <w:r w:rsidR="00C9766A">
              <w:t xml:space="preserve">Requiring </w:t>
            </w:r>
            <w:r>
              <w:t>Revision/</w:t>
            </w:r>
            <w:r w:rsidR="0017783C">
              <w:t>R</w:t>
            </w:r>
            <w:r w:rsidR="003069F4">
              <w:t>elated Revision Request</w:t>
            </w:r>
            <w:r w:rsidR="0007682E">
              <w:t>s</w:t>
            </w:r>
          </w:p>
        </w:tc>
        <w:tc>
          <w:tcPr>
            <w:tcW w:w="7560" w:type="dxa"/>
            <w:gridSpan w:val="2"/>
            <w:tcBorders>
              <w:bottom w:val="single" w:sz="4" w:space="0" w:color="auto"/>
            </w:tcBorders>
            <w:vAlign w:val="center"/>
          </w:tcPr>
          <w:p w14:paraId="6A6CAB71" w14:textId="24DB87B7" w:rsidR="00C9766A" w:rsidRPr="00FB509B" w:rsidRDefault="008C429A" w:rsidP="00E71C39">
            <w:pPr>
              <w:pStyle w:val="NormalArial"/>
            </w:pPr>
            <w:r>
              <w:t>N</w:t>
            </w:r>
            <w:r w:rsidR="009E5F2F">
              <w:t>odal Protocol Revision Request (N</w:t>
            </w:r>
            <w:r>
              <w:t>PRR</w:t>
            </w:r>
            <w:r w:rsidR="009E5F2F">
              <w:t xml:space="preserve">) </w:t>
            </w:r>
            <w:r w:rsidR="00BC35DD">
              <w:t>1242</w:t>
            </w:r>
            <w:r w:rsidR="00827A78">
              <w:t xml:space="preserve">, </w:t>
            </w:r>
            <w:r w:rsidR="009E5F2F">
              <w:t>Related to VCMRR</w:t>
            </w:r>
            <w:r w:rsidR="00BC35DD">
              <w:t>042</w:t>
            </w:r>
            <w:r w:rsidR="009E5F2F">
              <w:t>, SO</w:t>
            </w:r>
            <w:r w:rsidR="009E5F2F">
              <w:rPr>
                <w:vertAlign w:val="subscript"/>
              </w:rPr>
              <w:t xml:space="preserve">2 </w:t>
            </w:r>
            <w:r w:rsidR="009E5F2F">
              <w:t>and NO</w:t>
            </w:r>
            <w:r w:rsidR="009E5F2F">
              <w:rPr>
                <w:vertAlign w:val="subscript"/>
              </w:rPr>
              <w:t xml:space="preserve">x </w:t>
            </w:r>
            <w:r w:rsidR="009E5F2F">
              <w:t>Emission Index Prices Used in Verifiable Cost Calculations</w:t>
            </w:r>
          </w:p>
        </w:tc>
      </w:tr>
      <w:tr w:rsidR="009D17F0" w14:paraId="6726A250" w14:textId="77777777" w:rsidTr="00BC2D06">
        <w:trPr>
          <w:trHeight w:val="518"/>
        </w:trPr>
        <w:tc>
          <w:tcPr>
            <w:tcW w:w="2880" w:type="dxa"/>
            <w:gridSpan w:val="2"/>
            <w:tcBorders>
              <w:bottom w:val="single" w:sz="4" w:space="0" w:color="auto"/>
            </w:tcBorders>
            <w:shd w:val="clear" w:color="auto" w:fill="FFFFFF"/>
            <w:vAlign w:val="center"/>
          </w:tcPr>
          <w:p w14:paraId="42C2BF27" w14:textId="77777777" w:rsidR="009D17F0" w:rsidRDefault="009D17F0" w:rsidP="009E5F2F">
            <w:pPr>
              <w:pStyle w:val="Header"/>
              <w:spacing w:before="120" w:after="120"/>
            </w:pPr>
            <w:r>
              <w:t>Revision Description</w:t>
            </w:r>
          </w:p>
        </w:tc>
        <w:tc>
          <w:tcPr>
            <w:tcW w:w="7560" w:type="dxa"/>
            <w:gridSpan w:val="2"/>
            <w:tcBorders>
              <w:bottom w:val="single" w:sz="4" w:space="0" w:color="auto"/>
            </w:tcBorders>
            <w:vAlign w:val="center"/>
          </w:tcPr>
          <w:p w14:paraId="442C00C7" w14:textId="4CF0FF8C" w:rsidR="009D17F0" w:rsidRPr="00FB509B" w:rsidRDefault="008C429A" w:rsidP="009E5F2F">
            <w:pPr>
              <w:pStyle w:val="NormalArial"/>
              <w:spacing w:before="120" w:after="120"/>
            </w:pPr>
            <w:r>
              <w:t xml:space="preserve">This Verifiable Cost Manual Revision Request (VCMRR) adds the use of seasonal </w:t>
            </w:r>
            <w:r w:rsidRPr="00D776A7">
              <w:t>sulfur dioxide (SO</w:t>
            </w:r>
            <w:r w:rsidRPr="00D776A7">
              <w:rPr>
                <w:vertAlign w:val="subscript"/>
              </w:rPr>
              <w:t>2</w:t>
            </w:r>
            <w:r w:rsidRPr="00D776A7">
              <w:t>) and nitrogen oxide (NO</w:t>
            </w:r>
            <w:r>
              <w:rPr>
                <w:vertAlign w:val="subscript"/>
              </w:rPr>
              <w:t>X</w:t>
            </w:r>
            <w:r w:rsidRPr="00D776A7">
              <w:t>)</w:t>
            </w:r>
            <w:r>
              <w:t xml:space="preserve"> prices obtained from indices to calculate emission costs from May through September.  Annual prices would continue to be used </w:t>
            </w:r>
            <w:r w:rsidR="004B21AA">
              <w:t>from October through April.</w:t>
            </w:r>
          </w:p>
        </w:tc>
      </w:tr>
      <w:tr w:rsidR="009D17F0" w14:paraId="39B0EF00" w14:textId="77777777" w:rsidTr="00625E5D">
        <w:trPr>
          <w:trHeight w:val="518"/>
        </w:trPr>
        <w:tc>
          <w:tcPr>
            <w:tcW w:w="2880" w:type="dxa"/>
            <w:gridSpan w:val="2"/>
            <w:shd w:val="clear" w:color="auto" w:fill="FFFFFF"/>
            <w:vAlign w:val="center"/>
          </w:tcPr>
          <w:p w14:paraId="502DD6F7" w14:textId="77777777" w:rsidR="009D17F0" w:rsidRDefault="009D17F0" w:rsidP="009E5F2F">
            <w:pPr>
              <w:pStyle w:val="Header"/>
              <w:spacing w:before="120" w:after="120"/>
            </w:pPr>
            <w:r>
              <w:t>Reason for Revision</w:t>
            </w:r>
          </w:p>
        </w:tc>
        <w:tc>
          <w:tcPr>
            <w:tcW w:w="7560" w:type="dxa"/>
            <w:gridSpan w:val="2"/>
            <w:vAlign w:val="center"/>
          </w:tcPr>
          <w:p w14:paraId="1E7A53BF" w14:textId="07F6B1D7" w:rsidR="00930C49" w:rsidRDefault="00930C49" w:rsidP="00930C49">
            <w:pPr>
              <w:pStyle w:val="NormalArial"/>
              <w:tabs>
                <w:tab w:val="left" w:pos="432"/>
              </w:tabs>
              <w:spacing w:before="120"/>
              <w:ind w:left="432" w:hanging="432"/>
              <w:rPr>
                <w:rFonts w:cs="Arial"/>
                <w:color w:val="000000"/>
              </w:rPr>
            </w:pPr>
            <w:r w:rsidRPr="006629C8">
              <w:object w:dxaOrig="225" w:dyaOrig="225" w14:anchorId="74AF25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5.75pt;height:15pt" o:ole="">
                  <v:imagedata r:id="rId12" o:title=""/>
                </v:shape>
                <w:control r:id="rId13" w:name="TextBox112" w:shapeid="_x0000_i1037"/>
              </w:object>
            </w:r>
            <w:r w:rsidRPr="006629C8">
              <w:t xml:space="preserve">  </w:t>
            </w:r>
            <w:hyperlink r:id="rId14" w:history="1">
              <w:r w:rsidRPr="00BD53C5">
                <w:rPr>
                  <w:rStyle w:val="Hyperlink"/>
                  <w:rFonts w:cs="Arial"/>
                </w:rPr>
                <w:t>Strategic Plan</w:t>
              </w:r>
            </w:hyperlink>
            <w:r>
              <w:rPr>
                <w:rFonts w:cs="Arial"/>
                <w:color w:val="000000"/>
              </w:rPr>
              <w:t xml:space="preserve"> Objective 1 – </w:t>
            </w:r>
            <w:r w:rsidRPr="00BD53C5">
              <w:rPr>
                <w:rFonts w:cs="Arial"/>
                <w:color w:val="000000"/>
              </w:rPr>
              <w:t xml:space="preserve">Be an industry leader for grid reliability and </w:t>
            </w:r>
            <w:proofErr w:type="gramStart"/>
            <w:r w:rsidRPr="00BD53C5">
              <w:rPr>
                <w:rFonts w:cs="Arial"/>
                <w:color w:val="000000"/>
              </w:rPr>
              <w:t>resilience</w:t>
            </w:r>
            <w:proofErr w:type="gramEnd"/>
          </w:p>
          <w:p w14:paraId="55EB7FDB" w14:textId="1389A009" w:rsidR="00930C49" w:rsidRPr="00BD53C5" w:rsidRDefault="00930C49" w:rsidP="00930C49">
            <w:pPr>
              <w:pStyle w:val="NormalArial"/>
              <w:tabs>
                <w:tab w:val="left" w:pos="432"/>
              </w:tabs>
              <w:spacing w:before="120"/>
              <w:ind w:left="432" w:hanging="432"/>
              <w:rPr>
                <w:rFonts w:cs="Arial"/>
                <w:color w:val="000000"/>
              </w:rPr>
            </w:pPr>
            <w:r w:rsidRPr="00CD242D">
              <w:object w:dxaOrig="225" w:dyaOrig="225" w14:anchorId="7E337B1B">
                <v:shape id="_x0000_i1039" type="#_x0000_t75" style="width:15.75pt;height:15pt" o:ole="">
                  <v:imagedata r:id="rId15" o:title=""/>
                </v:shape>
                <w:control r:id="rId16" w:name="TextBox17" w:shapeid="_x0000_i1039"/>
              </w:object>
            </w:r>
            <w:r w:rsidRPr="00CD242D">
              <w:t xml:space="preserve">  </w:t>
            </w:r>
            <w:hyperlink r:id="rId17" w:history="1">
              <w:r w:rsidRPr="00BD53C5">
                <w:rPr>
                  <w:rStyle w:val="Hyperlink"/>
                  <w:rFonts w:cs="Arial"/>
                </w:rPr>
                <w:t>Strategic Plan</w:t>
              </w:r>
            </w:hyperlink>
            <w:r>
              <w:rPr>
                <w:rFonts w:cs="Arial"/>
                <w:color w:val="000000"/>
              </w:rPr>
              <w:t xml:space="preserve"> Objective 2 - </w:t>
            </w:r>
            <w:r w:rsidRPr="00BD53C5">
              <w:rPr>
                <w:rFonts w:cs="Arial"/>
                <w:color w:val="000000"/>
              </w:rPr>
              <w:t>Enhance the ERCOT region’s economic competitiveness</w:t>
            </w:r>
            <w:r>
              <w:rPr>
                <w:rFonts w:cs="Arial"/>
                <w:color w:val="000000"/>
              </w:rPr>
              <w:t xml:space="preserve"> </w:t>
            </w:r>
            <w:r w:rsidRPr="00BD53C5">
              <w:rPr>
                <w:rFonts w:cs="Arial"/>
                <w:color w:val="000000"/>
              </w:rPr>
              <w:t>with respect to trends in wholesale power rates and retail</w:t>
            </w:r>
            <w:r>
              <w:rPr>
                <w:rFonts w:cs="Arial"/>
                <w:color w:val="000000"/>
              </w:rPr>
              <w:t xml:space="preserve"> </w:t>
            </w:r>
            <w:r w:rsidRPr="00BD53C5">
              <w:rPr>
                <w:rFonts w:cs="Arial"/>
                <w:color w:val="000000"/>
              </w:rPr>
              <w:t xml:space="preserve">electricity prices to </w:t>
            </w:r>
            <w:proofErr w:type="gramStart"/>
            <w:r w:rsidRPr="00BD53C5">
              <w:rPr>
                <w:rFonts w:cs="Arial"/>
                <w:color w:val="000000"/>
              </w:rPr>
              <w:t>consumers</w:t>
            </w:r>
            <w:proofErr w:type="gramEnd"/>
          </w:p>
          <w:p w14:paraId="4694DA9C" w14:textId="28284A6D" w:rsidR="00930C49" w:rsidRPr="00BD53C5" w:rsidRDefault="00930C49" w:rsidP="00930C49">
            <w:pPr>
              <w:pStyle w:val="NormalArial"/>
              <w:spacing w:before="120"/>
              <w:ind w:left="432" w:hanging="432"/>
              <w:rPr>
                <w:rFonts w:cs="Arial"/>
                <w:color w:val="000000"/>
              </w:rPr>
            </w:pPr>
            <w:r w:rsidRPr="006629C8">
              <w:object w:dxaOrig="225" w:dyaOrig="225" w14:anchorId="1806A9A1">
                <v:shape id="_x0000_i1041" type="#_x0000_t75" style="width:15.75pt;height:15pt" o:ole="">
                  <v:imagedata r:id="rId12" o:title=""/>
                </v:shape>
                <w:control r:id="rId18" w:name="TextBox122" w:shapeid="_x0000_i1041"/>
              </w:object>
            </w:r>
            <w:r w:rsidRPr="006629C8">
              <w:t xml:space="preserve">  </w:t>
            </w:r>
            <w:hyperlink r:id="rId19" w:history="1">
              <w:r w:rsidRPr="00BD53C5">
                <w:rPr>
                  <w:rStyle w:val="Hyperlink"/>
                  <w:rFonts w:cs="Arial"/>
                </w:rPr>
                <w:t>Strategic Plan</w:t>
              </w:r>
            </w:hyperlink>
            <w:r>
              <w:rPr>
                <w:rFonts w:cs="Arial"/>
                <w:color w:val="000000"/>
              </w:rPr>
              <w:t xml:space="preserve"> Objective 3 - </w:t>
            </w:r>
            <w:r w:rsidRPr="00BD53C5">
              <w:rPr>
                <w:rFonts w:cs="Arial"/>
                <w:color w:val="000000"/>
              </w:rPr>
              <w:t>Advance ERCOT, Inc. as an</w:t>
            </w:r>
            <w:r>
              <w:rPr>
                <w:rFonts w:cs="Arial"/>
                <w:color w:val="000000"/>
              </w:rPr>
              <w:t xml:space="preserve"> </w:t>
            </w:r>
            <w:r w:rsidRPr="00BD53C5">
              <w:rPr>
                <w:rFonts w:cs="Arial"/>
                <w:color w:val="000000"/>
              </w:rPr>
              <w:t>independent leading</w:t>
            </w:r>
            <w:r>
              <w:rPr>
                <w:rFonts w:cs="Arial"/>
                <w:color w:val="000000"/>
              </w:rPr>
              <w:t xml:space="preserve"> </w:t>
            </w:r>
            <w:r w:rsidRPr="00BD53C5">
              <w:rPr>
                <w:rFonts w:cs="Arial"/>
                <w:color w:val="000000"/>
              </w:rPr>
              <w:t>industry expert and an employer of choice by fostering</w:t>
            </w:r>
            <w:r>
              <w:rPr>
                <w:rFonts w:cs="Arial"/>
                <w:color w:val="000000"/>
              </w:rPr>
              <w:t xml:space="preserve"> </w:t>
            </w:r>
            <w:r w:rsidRPr="00BD53C5">
              <w:rPr>
                <w:rFonts w:cs="Arial"/>
                <w:color w:val="000000"/>
              </w:rPr>
              <w:t>innovation, investing in our people, and emphasizing the</w:t>
            </w:r>
            <w:r>
              <w:rPr>
                <w:rFonts w:cs="Arial"/>
                <w:color w:val="000000"/>
              </w:rPr>
              <w:t xml:space="preserve"> </w:t>
            </w:r>
            <w:r w:rsidRPr="00BD53C5">
              <w:rPr>
                <w:rFonts w:cs="Arial"/>
                <w:color w:val="000000"/>
              </w:rPr>
              <w:t xml:space="preserve">importance of our </w:t>
            </w:r>
            <w:proofErr w:type="gramStart"/>
            <w:r w:rsidRPr="00BD53C5">
              <w:rPr>
                <w:rFonts w:cs="Arial"/>
                <w:color w:val="000000"/>
              </w:rPr>
              <w:t>mission</w:t>
            </w:r>
            <w:proofErr w:type="gramEnd"/>
          </w:p>
          <w:p w14:paraId="57937BA5" w14:textId="1A9C100E" w:rsidR="00930C49" w:rsidRDefault="00930C49" w:rsidP="00930C49">
            <w:pPr>
              <w:pStyle w:val="NormalArial"/>
              <w:spacing w:before="120"/>
              <w:rPr>
                <w:iCs/>
                <w:kern w:val="24"/>
              </w:rPr>
            </w:pPr>
            <w:r w:rsidRPr="006629C8">
              <w:object w:dxaOrig="225" w:dyaOrig="225" w14:anchorId="52A651D7">
                <v:shape id="_x0000_i1043" type="#_x0000_t75" style="width:15.75pt;height:15pt" o:ole="">
                  <v:imagedata r:id="rId12" o:title=""/>
                </v:shape>
                <w:control r:id="rId20" w:name="TextBox13" w:shapeid="_x0000_i1043"/>
              </w:object>
            </w:r>
            <w:r w:rsidRPr="006629C8">
              <w:t xml:space="preserve">  </w:t>
            </w:r>
            <w:r>
              <w:rPr>
                <w:iCs/>
                <w:kern w:val="24"/>
              </w:rPr>
              <w:t>Administrative</w:t>
            </w:r>
          </w:p>
          <w:p w14:paraId="4FFB5523" w14:textId="53C3420E" w:rsidR="00930C49" w:rsidRDefault="00930C49" w:rsidP="00930C49">
            <w:pPr>
              <w:pStyle w:val="NormalArial"/>
              <w:spacing w:before="120"/>
              <w:rPr>
                <w:iCs/>
                <w:kern w:val="24"/>
              </w:rPr>
            </w:pPr>
            <w:r w:rsidRPr="006629C8">
              <w:object w:dxaOrig="225" w:dyaOrig="225" w14:anchorId="519E8277">
                <v:shape id="_x0000_i1045" type="#_x0000_t75" style="width:15.75pt;height:15pt" o:ole="">
                  <v:imagedata r:id="rId12" o:title=""/>
                </v:shape>
                <w:control r:id="rId21" w:name="TextBox14" w:shapeid="_x0000_i1045"/>
              </w:object>
            </w:r>
            <w:r w:rsidRPr="006629C8">
              <w:t xml:space="preserve">  </w:t>
            </w:r>
            <w:r>
              <w:rPr>
                <w:iCs/>
                <w:kern w:val="24"/>
              </w:rPr>
              <w:t>Regulatory requirements</w:t>
            </w:r>
          </w:p>
          <w:p w14:paraId="77FE04A4" w14:textId="3B8B186C" w:rsidR="00930C49" w:rsidRPr="00CD242D" w:rsidRDefault="00930C49" w:rsidP="00930C49">
            <w:pPr>
              <w:pStyle w:val="NormalArial"/>
              <w:spacing w:before="120"/>
              <w:rPr>
                <w:rFonts w:cs="Arial"/>
                <w:color w:val="000000"/>
              </w:rPr>
            </w:pPr>
            <w:r w:rsidRPr="006629C8">
              <w:object w:dxaOrig="225" w:dyaOrig="225" w14:anchorId="48FFF582">
                <v:shape id="_x0000_i1047" type="#_x0000_t75" style="width:15.75pt;height:15pt" o:ole="">
                  <v:imagedata r:id="rId12" o:title=""/>
                </v:shape>
                <w:control r:id="rId22" w:name="TextBox15" w:shapeid="_x0000_i1047"/>
              </w:object>
            </w:r>
            <w:r w:rsidRPr="006629C8">
              <w:t xml:space="preserve">  </w:t>
            </w:r>
            <w:r>
              <w:rPr>
                <w:rFonts w:cs="Arial"/>
                <w:color w:val="000000"/>
              </w:rPr>
              <w:t>ERCOT Board/PUCT Directive</w:t>
            </w:r>
          </w:p>
          <w:p w14:paraId="6704FB1E" w14:textId="77777777" w:rsidR="00930C49" w:rsidRDefault="00930C49" w:rsidP="00930C49">
            <w:pPr>
              <w:pStyle w:val="NormalArial"/>
              <w:rPr>
                <w:i/>
                <w:sz w:val="20"/>
                <w:szCs w:val="20"/>
              </w:rPr>
            </w:pPr>
          </w:p>
          <w:p w14:paraId="6CE21E4A" w14:textId="042FC5AF" w:rsidR="00FC3D4B" w:rsidRPr="009E5F2F" w:rsidRDefault="00930C49" w:rsidP="009E5F2F">
            <w:pPr>
              <w:pStyle w:val="NormalArial"/>
              <w:spacing w:after="120"/>
              <w:rPr>
                <w:i/>
                <w:sz w:val="20"/>
                <w:szCs w:val="20"/>
              </w:rPr>
            </w:pPr>
            <w:r w:rsidRPr="00CD242D">
              <w:rPr>
                <w:i/>
                <w:sz w:val="20"/>
                <w:szCs w:val="20"/>
              </w:rPr>
              <w:t xml:space="preserve">(please select </w:t>
            </w:r>
            <w:r>
              <w:rPr>
                <w:i/>
                <w:sz w:val="20"/>
                <w:szCs w:val="20"/>
              </w:rPr>
              <w:t>ONLY ONE – if more than one apply, please select the ONE that is most relevant)</w:t>
            </w:r>
          </w:p>
        </w:tc>
      </w:tr>
      <w:tr w:rsidR="00930C49" w14:paraId="5FB8E0CC" w14:textId="77777777" w:rsidTr="00BC2D06">
        <w:trPr>
          <w:trHeight w:val="518"/>
        </w:trPr>
        <w:tc>
          <w:tcPr>
            <w:tcW w:w="2880" w:type="dxa"/>
            <w:gridSpan w:val="2"/>
            <w:tcBorders>
              <w:bottom w:val="single" w:sz="4" w:space="0" w:color="auto"/>
            </w:tcBorders>
            <w:shd w:val="clear" w:color="auto" w:fill="FFFFFF"/>
            <w:vAlign w:val="center"/>
          </w:tcPr>
          <w:p w14:paraId="53CD9F0D" w14:textId="77CF693C" w:rsidR="00930C49" w:rsidRDefault="00930C49" w:rsidP="009E5F2F">
            <w:pPr>
              <w:pStyle w:val="Header"/>
              <w:spacing w:before="120" w:after="120"/>
            </w:pPr>
            <w:r>
              <w:t>Justification of Reason for Revision and Market Impacts</w:t>
            </w:r>
          </w:p>
        </w:tc>
        <w:tc>
          <w:tcPr>
            <w:tcW w:w="7560" w:type="dxa"/>
            <w:gridSpan w:val="2"/>
            <w:tcBorders>
              <w:bottom w:val="single" w:sz="4" w:space="0" w:color="auto"/>
            </w:tcBorders>
            <w:vAlign w:val="center"/>
          </w:tcPr>
          <w:p w14:paraId="032C0D6F" w14:textId="25B262BA" w:rsidR="00930C49" w:rsidRDefault="00B17E86" w:rsidP="009E5F2F">
            <w:pPr>
              <w:pStyle w:val="NormalArial"/>
              <w:spacing w:before="120" w:after="120"/>
              <w:rPr>
                <w:lang w:eastAsia="x-none"/>
              </w:rPr>
            </w:pPr>
            <w:r>
              <w:rPr>
                <w:iCs/>
                <w:kern w:val="24"/>
              </w:rPr>
              <w:t xml:space="preserve">This VCMRR is needed to ensure ERCOT has access to seasonal emissions data due to volatility in index prices as a result of reductions in allowances and reliance on the market to meet </w:t>
            </w:r>
            <w:r>
              <w:rPr>
                <w:iCs/>
                <w:kern w:val="24"/>
              </w:rPr>
              <w:lastRenderedPageBreak/>
              <w:t xml:space="preserve">compliance obligations.  The swings in index prices are particularly impactful on </w:t>
            </w:r>
            <w:r w:rsidRPr="00B17E86">
              <w:rPr>
                <w:lang w:eastAsia="x-none"/>
              </w:rPr>
              <w:t xml:space="preserve">Verifiable Startup Emission Costs and Verifiable Minimum-Energy Emission Costs, outlined in </w:t>
            </w:r>
            <w:r w:rsidR="009E5F2F" w:rsidRPr="008C429A">
              <w:rPr>
                <w:color w:val="000000"/>
              </w:rPr>
              <w:t>Appendix 5, Specification of Relevant Equations</w:t>
            </w:r>
            <w:r w:rsidR="00A37B1C">
              <w:rPr>
                <w:color w:val="000000"/>
              </w:rPr>
              <w:t>,</w:t>
            </w:r>
            <w:r w:rsidR="00A37B1C">
              <w:rPr>
                <w:lang w:eastAsia="x-none"/>
              </w:rPr>
              <w:t xml:space="preserve"> and</w:t>
            </w:r>
            <w:r w:rsidR="00D95B9B">
              <w:rPr>
                <w:lang w:eastAsia="x-none"/>
              </w:rPr>
              <w:t xml:space="preserve"> need to be taken into account in Generation Resources’ offer curves.</w:t>
            </w:r>
          </w:p>
          <w:p w14:paraId="4BCF951F" w14:textId="18D96234" w:rsidR="00945823" w:rsidRDefault="00945823" w:rsidP="009E5F2F">
            <w:pPr>
              <w:pStyle w:val="NormalArial"/>
              <w:spacing w:before="120" w:after="120"/>
              <w:rPr>
                <w:iCs/>
                <w:kern w:val="24"/>
              </w:rPr>
            </w:pPr>
            <w:r w:rsidRPr="00945823">
              <w:rPr>
                <w:iCs/>
                <w:kern w:val="24"/>
              </w:rPr>
              <w:t xml:space="preserve">While there has been attention on the Environmental Protection Agency (EPA) rules and a recent Supreme Court ruling on the Good Neighbor Rule, this does not eliminate seasonal index prices.  Further, it seems appropriate for ERCOT to maintain access to the vendor data needed to include seasonal index prices as EPA is expected to reinstate prior </w:t>
            </w:r>
            <w:r w:rsidR="00A37B1C">
              <w:rPr>
                <w:iCs/>
                <w:kern w:val="24"/>
              </w:rPr>
              <w:t>Cross-State Air Pollution Rule (</w:t>
            </w:r>
            <w:r w:rsidRPr="00945823">
              <w:rPr>
                <w:iCs/>
                <w:kern w:val="24"/>
              </w:rPr>
              <w:t>CSAPR</w:t>
            </w:r>
            <w:r w:rsidR="00A37B1C">
              <w:rPr>
                <w:iCs/>
                <w:kern w:val="24"/>
              </w:rPr>
              <w:t>)</w:t>
            </w:r>
            <w:r w:rsidRPr="00945823">
              <w:rPr>
                <w:iCs/>
                <w:kern w:val="24"/>
              </w:rPr>
              <w:t xml:space="preserve"> obligations while the legal challenge to the Good Neighbor Rule continues to be litigated.  Although trading has temporarily been suspended, obligations to hold and obtain sufficient allowances consistent with CSAPR obligations are expected to be clarified with relative speed.  Eliminating the need to engage in a new vendor selection process allows ERCOT to quickly respond to the changes in the emissions allowances and resulting prices.</w:t>
            </w:r>
          </w:p>
          <w:p w14:paraId="125B9D94" w14:textId="4DD5F059" w:rsidR="00945823" w:rsidRPr="00625E5D" w:rsidRDefault="00945823" w:rsidP="009E5F2F">
            <w:pPr>
              <w:pStyle w:val="NormalArial"/>
              <w:spacing w:before="120" w:after="120"/>
              <w:rPr>
                <w:iCs/>
                <w:kern w:val="24"/>
              </w:rPr>
            </w:pPr>
            <w:r>
              <w:rPr>
                <w:iCs/>
                <w:kern w:val="24"/>
              </w:rPr>
              <w:t xml:space="preserve">Further, the inventory of allowances is reflected in terms of opportunity costs.  They can be used by Luminant to meet compliance </w:t>
            </w:r>
            <w:r w:rsidR="002A794D">
              <w:rPr>
                <w:iCs/>
                <w:kern w:val="24"/>
              </w:rPr>
              <w:t>obligations</w:t>
            </w:r>
            <w:r>
              <w:rPr>
                <w:iCs/>
                <w:kern w:val="24"/>
              </w:rPr>
              <w:t xml:space="preserve"> or sold if there are potential excess allowances.  Therefore, there is a value attached to them even absent trading.</w:t>
            </w:r>
          </w:p>
        </w:tc>
      </w:tr>
    </w:tbl>
    <w:p w14:paraId="5294EE7D" w14:textId="330B5BEF" w:rsidR="0059260F" w:rsidRDefault="0059260F" w:rsidP="00E71C39">
      <w:pPr>
        <w:pStyle w:val="NormalArial"/>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7560"/>
      </w:tblGrid>
      <w:tr w:rsidR="00127985" w:rsidRPr="00A37B1C" w14:paraId="1685F83D" w14:textId="77777777" w:rsidTr="009A7D32">
        <w:trPr>
          <w:cantSplit/>
          <w:trHeight w:val="432"/>
        </w:trPr>
        <w:tc>
          <w:tcPr>
            <w:tcW w:w="10440" w:type="dxa"/>
            <w:gridSpan w:val="2"/>
            <w:tcBorders>
              <w:top w:val="single" w:sz="4" w:space="0" w:color="auto"/>
            </w:tcBorders>
            <w:shd w:val="clear" w:color="auto" w:fill="FFFFFF"/>
            <w:vAlign w:val="center"/>
          </w:tcPr>
          <w:p w14:paraId="680EB015" w14:textId="77777777" w:rsidR="00127985" w:rsidRPr="00A37B1C" w:rsidRDefault="00127985" w:rsidP="009A7D32">
            <w:pPr>
              <w:pStyle w:val="Header"/>
              <w:jc w:val="center"/>
            </w:pPr>
            <w:bookmarkStart w:id="1" w:name="_Hlk154568842"/>
            <w:r w:rsidRPr="00A37B1C">
              <w:t>Sponsor</w:t>
            </w:r>
          </w:p>
        </w:tc>
      </w:tr>
      <w:tr w:rsidR="00127985" w:rsidRPr="00A37B1C" w14:paraId="6BA950AA" w14:textId="77777777" w:rsidTr="009A7D32">
        <w:trPr>
          <w:cantSplit/>
          <w:trHeight w:val="432"/>
        </w:trPr>
        <w:tc>
          <w:tcPr>
            <w:tcW w:w="2880" w:type="dxa"/>
            <w:shd w:val="clear" w:color="auto" w:fill="FFFFFF"/>
            <w:vAlign w:val="center"/>
          </w:tcPr>
          <w:p w14:paraId="2C90F123" w14:textId="77777777" w:rsidR="00127985" w:rsidRPr="00A37B1C" w:rsidRDefault="00127985" w:rsidP="009A7D32">
            <w:pPr>
              <w:pStyle w:val="Header"/>
              <w:rPr>
                <w:bCs w:val="0"/>
              </w:rPr>
            </w:pPr>
            <w:r w:rsidRPr="00A37B1C">
              <w:rPr>
                <w:bCs w:val="0"/>
              </w:rPr>
              <w:t>Name</w:t>
            </w:r>
          </w:p>
        </w:tc>
        <w:tc>
          <w:tcPr>
            <w:tcW w:w="7560" w:type="dxa"/>
            <w:vAlign w:val="center"/>
          </w:tcPr>
          <w:p w14:paraId="4F7F8F4D" w14:textId="04E570BB" w:rsidR="00127985" w:rsidRPr="00A37B1C" w:rsidRDefault="008C429A" w:rsidP="009A7D32">
            <w:pPr>
              <w:pStyle w:val="NormalArial"/>
            </w:pPr>
            <w:r w:rsidRPr="00A37B1C">
              <w:t>Katie Rich</w:t>
            </w:r>
          </w:p>
        </w:tc>
      </w:tr>
      <w:tr w:rsidR="00127985" w:rsidRPr="00A37B1C" w14:paraId="7B4CBD08" w14:textId="77777777" w:rsidTr="009A7D32">
        <w:trPr>
          <w:cantSplit/>
          <w:trHeight w:val="432"/>
        </w:trPr>
        <w:tc>
          <w:tcPr>
            <w:tcW w:w="2880" w:type="dxa"/>
            <w:shd w:val="clear" w:color="auto" w:fill="FFFFFF"/>
            <w:vAlign w:val="center"/>
          </w:tcPr>
          <w:p w14:paraId="598885D6" w14:textId="77777777" w:rsidR="00127985" w:rsidRPr="00A37B1C" w:rsidRDefault="00127985" w:rsidP="009A7D32">
            <w:pPr>
              <w:pStyle w:val="Header"/>
              <w:rPr>
                <w:bCs w:val="0"/>
              </w:rPr>
            </w:pPr>
            <w:r w:rsidRPr="00A37B1C">
              <w:rPr>
                <w:bCs w:val="0"/>
              </w:rPr>
              <w:t>E-mail Address</w:t>
            </w:r>
          </w:p>
        </w:tc>
        <w:tc>
          <w:tcPr>
            <w:tcW w:w="7560" w:type="dxa"/>
            <w:vAlign w:val="center"/>
          </w:tcPr>
          <w:p w14:paraId="65835B26" w14:textId="2452E34D" w:rsidR="00127985" w:rsidRPr="00A37B1C" w:rsidRDefault="00C15A93" w:rsidP="009A7D32">
            <w:pPr>
              <w:pStyle w:val="NormalArial"/>
            </w:pPr>
            <w:hyperlink r:id="rId23" w:history="1">
              <w:r w:rsidR="007E0236" w:rsidRPr="00A37B1C">
                <w:rPr>
                  <w:rStyle w:val="Hyperlink"/>
                </w:rPr>
                <w:t>katie.rich@vistracorp.com</w:t>
              </w:r>
            </w:hyperlink>
          </w:p>
        </w:tc>
      </w:tr>
      <w:tr w:rsidR="00127985" w:rsidRPr="00A37B1C" w14:paraId="3352D5C4" w14:textId="77777777" w:rsidTr="009A7D32">
        <w:trPr>
          <w:cantSplit/>
          <w:trHeight w:val="432"/>
        </w:trPr>
        <w:tc>
          <w:tcPr>
            <w:tcW w:w="2880" w:type="dxa"/>
            <w:shd w:val="clear" w:color="auto" w:fill="FFFFFF"/>
            <w:vAlign w:val="center"/>
          </w:tcPr>
          <w:p w14:paraId="49FCE241" w14:textId="77777777" w:rsidR="00127985" w:rsidRPr="00A37B1C" w:rsidRDefault="00127985" w:rsidP="009A7D32">
            <w:pPr>
              <w:pStyle w:val="Header"/>
              <w:rPr>
                <w:bCs w:val="0"/>
              </w:rPr>
            </w:pPr>
            <w:r w:rsidRPr="00A37B1C">
              <w:rPr>
                <w:bCs w:val="0"/>
              </w:rPr>
              <w:t>Company</w:t>
            </w:r>
          </w:p>
        </w:tc>
        <w:tc>
          <w:tcPr>
            <w:tcW w:w="7560" w:type="dxa"/>
            <w:vAlign w:val="center"/>
          </w:tcPr>
          <w:p w14:paraId="0580A551" w14:textId="6B76AEBF" w:rsidR="00127985" w:rsidRPr="00A37B1C" w:rsidRDefault="008C429A" w:rsidP="009A7D32">
            <w:pPr>
              <w:pStyle w:val="NormalArial"/>
            </w:pPr>
            <w:r w:rsidRPr="00A37B1C">
              <w:rPr>
                <w:color w:val="000000"/>
              </w:rPr>
              <w:t>Luminant Generation Company LLC</w:t>
            </w:r>
          </w:p>
        </w:tc>
      </w:tr>
      <w:tr w:rsidR="00127985" w:rsidRPr="00A37B1C" w14:paraId="7C82909F" w14:textId="77777777" w:rsidTr="009A7D32">
        <w:trPr>
          <w:cantSplit/>
          <w:trHeight w:val="432"/>
        </w:trPr>
        <w:tc>
          <w:tcPr>
            <w:tcW w:w="2880" w:type="dxa"/>
            <w:tcBorders>
              <w:bottom w:val="single" w:sz="4" w:space="0" w:color="auto"/>
            </w:tcBorders>
            <w:shd w:val="clear" w:color="auto" w:fill="FFFFFF"/>
            <w:vAlign w:val="center"/>
          </w:tcPr>
          <w:p w14:paraId="0BDF82AB" w14:textId="77777777" w:rsidR="00127985" w:rsidRPr="00A37B1C" w:rsidRDefault="00127985" w:rsidP="009A7D32">
            <w:pPr>
              <w:pStyle w:val="Header"/>
              <w:rPr>
                <w:bCs w:val="0"/>
              </w:rPr>
            </w:pPr>
            <w:r w:rsidRPr="00A37B1C">
              <w:rPr>
                <w:bCs w:val="0"/>
              </w:rPr>
              <w:t>Phone Number</w:t>
            </w:r>
          </w:p>
        </w:tc>
        <w:tc>
          <w:tcPr>
            <w:tcW w:w="7560" w:type="dxa"/>
            <w:tcBorders>
              <w:bottom w:val="single" w:sz="4" w:space="0" w:color="auto"/>
            </w:tcBorders>
            <w:vAlign w:val="center"/>
          </w:tcPr>
          <w:p w14:paraId="18A49205" w14:textId="77777777" w:rsidR="00127985" w:rsidRPr="00A37B1C" w:rsidRDefault="00127985" w:rsidP="009A7D32">
            <w:pPr>
              <w:pStyle w:val="NormalArial"/>
            </w:pPr>
          </w:p>
        </w:tc>
      </w:tr>
      <w:tr w:rsidR="00127985" w:rsidRPr="00A37B1C" w14:paraId="52561A61" w14:textId="77777777" w:rsidTr="009A7D32">
        <w:trPr>
          <w:cantSplit/>
          <w:trHeight w:val="432"/>
        </w:trPr>
        <w:tc>
          <w:tcPr>
            <w:tcW w:w="2880" w:type="dxa"/>
            <w:shd w:val="clear" w:color="auto" w:fill="FFFFFF"/>
            <w:vAlign w:val="center"/>
          </w:tcPr>
          <w:p w14:paraId="37F3168D" w14:textId="77777777" w:rsidR="00127985" w:rsidRPr="00A37B1C" w:rsidRDefault="00127985" w:rsidP="009A7D32">
            <w:pPr>
              <w:pStyle w:val="Header"/>
              <w:rPr>
                <w:bCs w:val="0"/>
              </w:rPr>
            </w:pPr>
            <w:r w:rsidRPr="00A37B1C">
              <w:rPr>
                <w:bCs w:val="0"/>
              </w:rPr>
              <w:t>Cell Number</w:t>
            </w:r>
          </w:p>
        </w:tc>
        <w:tc>
          <w:tcPr>
            <w:tcW w:w="7560" w:type="dxa"/>
            <w:vAlign w:val="center"/>
          </w:tcPr>
          <w:p w14:paraId="03B5038E" w14:textId="13E6C14E" w:rsidR="00127985" w:rsidRPr="00A37B1C" w:rsidRDefault="008C429A" w:rsidP="009A7D32">
            <w:pPr>
              <w:pStyle w:val="NormalArial"/>
            </w:pPr>
            <w:r w:rsidRPr="00A37B1C">
              <w:rPr>
                <w:color w:val="000000"/>
              </w:rPr>
              <w:t>737-313-9351</w:t>
            </w:r>
          </w:p>
        </w:tc>
      </w:tr>
      <w:tr w:rsidR="00127985" w:rsidRPr="00A37B1C" w14:paraId="413EDC6C" w14:textId="77777777" w:rsidTr="009A7D32">
        <w:trPr>
          <w:cantSplit/>
          <w:trHeight w:val="432"/>
        </w:trPr>
        <w:tc>
          <w:tcPr>
            <w:tcW w:w="2880" w:type="dxa"/>
            <w:tcBorders>
              <w:bottom w:val="single" w:sz="4" w:space="0" w:color="auto"/>
            </w:tcBorders>
            <w:shd w:val="clear" w:color="auto" w:fill="FFFFFF"/>
            <w:vAlign w:val="center"/>
          </w:tcPr>
          <w:p w14:paraId="4C3ED321" w14:textId="77777777" w:rsidR="00127985" w:rsidRPr="00A37B1C" w:rsidRDefault="00127985" w:rsidP="009A7D32">
            <w:pPr>
              <w:pStyle w:val="Header"/>
              <w:rPr>
                <w:bCs w:val="0"/>
              </w:rPr>
            </w:pPr>
            <w:r w:rsidRPr="00A37B1C">
              <w:rPr>
                <w:bCs w:val="0"/>
              </w:rPr>
              <w:t>Market Segment</w:t>
            </w:r>
          </w:p>
        </w:tc>
        <w:tc>
          <w:tcPr>
            <w:tcW w:w="7560" w:type="dxa"/>
            <w:tcBorders>
              <w:bottom w:val="single" w:sz="4" w:space="0" w:color="auto"/>
            </w:tcBorders>
            <w:vAlign w:val="center"/>
          </w:tcPr>
          <w:p w14:paraId="2136754D" w14:textId="7F834A0A" w:rsidR="00127985" w:rsidRPr="00A37B1C" w:rsidRDefault="008C429A" w:rsidP="009A7D32">
            <w:pPr>
              <w:pStyle w:val="NormalArial"/>
            </w:pPr>
            <w:r w:rsidRPr="00A37B1C">
              <w:rPr>
                <w:color w:val="000000"/>
              </w:rPr>
              <w:t>Independent Generator</w:t>
            </w:r>
          </w:p>
        </w:tc>
      </w:tr>
      <w:bookmarkEnd w:id="1"/>
    </w:tbl>
    <w:p w14:paraId="24A08F85" w14:textId="77777777" w:rsidR="009A3772" w:rsidRPr="00A37B1C" w:rsidRDefault="009A3772">
      <w:pPr>
        <w:pStyle w:val="NormalArial"/>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7560"/>
      </w:tblGrid>
      <w:tr w:rsidR="009A3772" w:rsidRPr="00A37B1C" w14:paraId="4F4C0AD8" w14:textId="77777777" w:rsidTr="00D176CF">
        <w:trPr>
          <w:cantSplit/>
          <w:trHeight w:val="432"/>
        </w:trPr>
        <w:tc>
          <w:tcPr>
            <w:tcW w:w="10440" w:type="dxa"/>
            <w:gridSpan w:val="2"/>
            <w:vAlign w:val="center"/>
          </w:tcPr>
          <w:p w14:paraId="3EAEB46A" w14:textId="0CD461AA" w:rsidR="009E5F2F" w:rsidRPr="00A37B1C" w:rsidRDefault="009A3772" w:rsidP="009E5F2F">
            <w:pPr>
              <w:pStyle w:val="NormalArial"/>
              <w:jc w:val="center"/>
            </w:pPr>
            <w:r w:rsidRPr="00A37B1C">
              <w:rPr>
                <w:b/>
              </w:rPr>
              <w:t>Market Rules Staff Contact</w:t>
            </w:r>
          </w:p>
        </w:tc>
      </w:tr>
      <w:tr w:rsidR="009A3772" w:rsidRPr="00A37B1C" w14:paraId="7EBC7B24" w14:textId="77777777" w:rsidTr="00D176CF">
        <w:trPr>
          <w:cantSplit/>
          <w:trHeight w:val="432"/>
        </w:trPr>
        <w:tc>
          <w:tcPr>
            <w:tcW w:w="2880" w:type="dxa"/>
            <w:vAlign w:val="center"/>
          </w:tcPr>
          <w:p w14:paraId="3348CD1F" w14:textId="77777777" w:rsidR="009A3772" w:rsidRPr="00A37B1C" w:rsidRDefault="009A3772">
            <w:pPr>
              <w:pStyle w:val="NormalArial"/>
              <w:rPr>
                <w:b/>
              </w:rPr>
            </w:pPr>
            <w:r w:rsidRPr="00A37B1C">
              <w:rPr>
                <w:b/>
              </w:rPr>
              <w:t>Name</w:t>
            </w:r>
          </w:p>
        </w:tc>
        <w:tc>
          <w:tcPr>
            <w:tcW w:w="7560" w:type="dxa"/>
            <w:vAlign w:val="center"/>
          </w:tcPr>
          <w:p w14:paraId="0AF1F123" w14:textId="73559371" w:rsidR="009E5F2F" w:rsidRPr="00A37B1C" w:rsidRDefault="009E5F2F" w:rsidP="009E5F2F">
            <w:pPr>
              <w:rPr>
                <w:rFonts w:ascii="Arial" w:hAnsi="Arial" w:cs="Arial"/>
              </w:rPr>
            </w:pPr>
            <w:r w:rsidRPr="00A37B1C">
              <w:rPr>
                <w:rFonts w:ascii="Arial" w:hAnsi="Arial" w:cs="Arial"/>
              </w:rPr>
              <w:t>Brittney Albracht</w:t>
            </w:r>
          </w:p>
        </w:tc>
      </w:tr>
      <w:tr w:rsidR="009A3772" w:rsidRPr="00A37B1C" w14:paraId="0284149D" w14:textId="77777777" w:rsidTr="00D176CF">
        <w:trPr>
          <w:cantSplit/>
          <w:trHeight w:val="432"/>
        </w:trPr>
        <w:tc>
          <w:tcPr>
            <w:tcW w:w="2880" w:type="dxa"/>
            <w:vAlign w:val="center"/>
          </w:tcPr>
          <w:p w14:paraId="1FCD1375" w14:textId="77777777" w:rsidR="009A3772" w:rsidRPr="00A37B1C" w:rsidRDefault="009A3772">
            <w:pPr>
              <w:pStyle w:val="NormalArial"/>
              <w:rPr>
                <w:b/>
              </w:rPr>
            </w:pPr>
            <w:r w:rsidRPr="00A37B1C">
              <w:rPr>
                <w:b/>
              </w:rPr>
              <w:t>E-Mail Address</w:t>
            </w:r>
          </w:p>
        </w:tc>
        <w:tc>
          <w:tcPr>
            <w:tcW w:w="7560" w:type="dxa"/>
            <w:vAlign w:val="center"/>
          </w:tcPr>
          <w:p w14:paraId="19704141" w14:textId="3DD4994C" w:rsidR="009E5F2F" w:rsidRPr="00A37B1C" w:rsidRDefault="00C15A93" w:rsidP="009E5F2F">
            <w:pPr>
              <w:rPr>
                <w:rFonts w:ascii="Arial" w:hAnsi="Arial" w:cs="Arial"/>
              </w:rPr>
            </w:pPr>
            <w:hyperlink r:id="rId24" w:history="1">
              <w:r w:rsidR="009E5F2F" w:rsidRPr="00A37B1C">
                <w:rPr>
                  <w:rStyle w:val="Hyperlink"/>
                  <w:rFonts w:ascii="Arial" w:hAnsi="Arial" w:cs="Arial"/>
                </w:rPr>
                <w:t>Brittney.Albracht@ercot.com</w:t>
              </w:r>
            </w:hyperlink>
            <w:r w:rsidR="009E5F2F" w:rsidRPr="00A37B1C">
              <w:rPr>
                <w:rFonts w:ascii="Arial" w:hAnsi="Arial" w:cs="Arial"/>
              </w:rPr>
              <w:t xml:space="preserve"> </w:t>
            </w:r>
          </w:p>
        </w:tc>
      </w:tr>
      <w:tr w:rsidR="009A3772" w:rsidRPr="00A37B1C" w14:paraId="5DA7D2B1" w14:textId="77777777" w:rsidTr="00D176CF">
        <w:trPr>
          <w:cantSplit/>
          <w:trHeight w:val="432"/>
        </w:trPr>
        <w:tc>
          <w:tcPr>
            <w:tcW w:w="2880" w:type="dxa"/>
            <w:vAlign w:val="center"/>
          </w:tcPr>
          <w:p w14:paraId="20176EC7" w14:textId="77777777" w:rsidR="009A3772" w:rsidRPr="00A37B1C" w:rsidRDefault="009A3772">
            <w:pPr>
              <w:pStyle w:val="NormalArial"/>
              <w:rPr>
                <w:b/>
              </w:rPr>
            </w:pPr>
            <w:r w:rsidRPr="00A37B1C">
              <w:rPr>
                <w:b/>
              </w:rPr>
              <w:t>Phone Number</w:t>
            </w:r>
          </w:p>
        </w:tc>
        <w:tc>
          <w:tcPr>
            <w:tcW w:w="7560" w:type="dxa"/>
            <w:vAlign w:val="center"/>
          </w:tcPr>
          <w:p w14:paraId="3E01946C" w14:textId="5745EEAA" w:rsidR="009E5F2F" w:rsidRPr="00A37B1C" w:rsidRDefault="009E5F2F" w:rsidP="009E5F2F">
            <w:pPr>
              <w:rPr>
                <w:rFonts w:ascii="Arial" w:hAnsi="Arial" w:cs="Arial"/>
              </w:rPr>
            </w:pPr>
            <w:r w:rsidRPr="00A37B1C">
              <w:rPr>
                <w:rFonts w:ascii="Arial" w:hAnsi="Arial" w:cs="Arial"/>
              </w:rPr>
              <w:t>512-225-7027</w:t>
            </w:r>
          </w:p>
        </w:tc>
      </w:tr>
    </w:tbl>
    <w:p w14:paraId="1AA5E2BF" w14:textId="77777777" w:rsidR="00A06E64" w:rsidRDefault="00A06E64" w:rsidP="00A06E64">
      <w:pPr>
        <w:tabs>
          <w:tab w:val="num" w:pos="0"/>
        </w:tabs>
        <w:rPr>
          <w:rFonts w:ascii="Arial" w:hAnsi="Arial" w:cs="Arial"/>
        </w:rPr>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40"/>
      </w:tblGrid>
      <w:tr w:rsidR="00A06E64" w14:paraId="200D2E16" w14:textId="77777777" w:rsidTr="00A06E64">
        <w:trPr>
          <w:trHeight w:val="350"/>
        </w:trPr>
        <w:tc>
          <w:tcPr>
            <w:tcW w:w="1044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8F87E2B" w14:textId="77777777" w:rsidR="00A06E64" w:rsidRDefault="00A06E64">
            <w:pPr>
              <w:pStyle w:val="Header"/>
              <w:jc w:val="center"/>
            </w:pPr>
            <w:r>
              <w:t>Market Rules Notes</w:t>
            </w:r>
          </w:p>
        </w:tc>
      </w:tr>
    </w:tbl>
    <w:p w14:paraId="34ADBC23" w14:textId="56F92628" w:rsidR="00A06E64" w:rsidRDefault="00A06E64" w:rsidP="00A06E64">
      <w:pPr>
        <w:tabs>
          <w:tab w:val="num" w:pos="0"/>
        </w:tabs>
        <w:spacing w:before="120" w:after="120"/>
        <w:rPr>
          <w:rFonts w:ascii="Arial" w:hAnsi="Arial" w:cs="Arial"/>
        </w:rPr>
      </w:pPr>
      <w:r>
        <w:rPr>
          <w:rFonts w:ascii="Arial" w:hAnsi="Arial" w:cs="Arial"/>
        </w:rPr>
        <w:lastRenderedPageBreak/>
        <w:t xml:space="preserve">Please note that the following </w:t>
      </w:r>
      <w:r>
        <w:rPr>
          <w:rFonts w:ascii="Arial" w:hAnsi="Arial" w:cs="Arial"/>
        </w:rPr>
        <w:t>VCM</w:t>
      </w:r>
      <w:r>
        <w:rPr>
          <w:rFonts w:ascii="Arial" w:hAnsi="Arial" w:cs="Arial"/>
        </w:rPr>
        <w:t>RR(s) also propose revisions to the following section(s):</w:t>
      </w:r>
    </w:p>
    <w:p w14:paraId="700E44CC" w14:textId="77777777" w:rsidR="00A06E64" w:rsidRPr="00A06E64" w:rsidRDefault="00A06E64" w:rsidP="00A06E64">
      <w:pPr>
        <w:numPr>
          <w:ilvl w:val="0"/>
          <w:numId w:val="21"/>
        </w:numPr>
        <w:rPr>
          <w:rFonts w:ascii="Arial" w:hAnsi="Arial" w:cs="Arial"/>
        </w:rPr>
      </w:pPr>
      <w:r w:rsidRPr="00A06E64">
        <w:rPr>
          <w:rFonts w:ascii="Arial" w:hAnsi="Arial" w:cs="Arial"/>
        </w:rPr>
        <w:t>VCMRR041</w:t>
      </w:r>
      <w:r w:rsidRPr="00A06E64">
        <w:rPr>
          <w:rFonts w:ascii="Arial" w:hAnsi="Arial" w:cs="Arial"/>
        </w:rPr>
        <w:t xml:space="preserve">, </w:t>
      </w:r>
      <w:r w:rsidRPr="00A06E64">
        <w:rPr>
          <w:rFonts w:ascii="Arial" w:hAnsi="Arial"/>
          <w:color w:val="000000" w:themeColor="text1"/>
        </w:rPr>
        <w:t>SO</w:t>
      </w:r>
      <w:r w:rsidRPr="00A06E64">
        <w:rPr>
          <w:rFonts w:ascii="Arial" w:hAnsi="Arial"/>
          <w:color w:val="000000" w:themeColor="text1"/>
          <w:vertAlign w:val="subscript"/>
        </w:rPr>
        <w:t>2</w:t>
      </w:r>
      <w:r w:rsidRPr="00A06E64">
        <w:rPr>
          <w:rFonts w:ascii="Arial" w:hAnsi="Arial"/>
          <w:color w:val="000000" w:themeColor="text1"/>
        </w:rPr>
        <w:t xml:space="preserve"> and NO</w:t>
      </w:r>
      <w:r w:rsidRPr="00A06E64">
        <w:rPr>
          <w:rFonts w:ascii="Arial" w:hAnsi="Arial"/>
          <w:color w:val="000000" w:themeColor="text1"/>
          <w:vertAlign w:val="subscript"/>
        </w:rPr>
        <w:t>X</w:t>
      </w:r>
      <w:r w:rsidRPr="00A06E64">
        <w:rPr>
          <w:rFonts w:ascii="Arial" w:hAnsi="Arial"/>
          <w:color w:val="000000" w:themeColor="text1"/>
        </w:rPr>
        <w:t xml:space="preserve"> Emission Prices Used in Verifiable Cost Calculations</w:t>
      </w:r>
      <w:r w:rsidRPr="00A06E64">
        <w:rPr>
          <w:rFonts w:ascii="Arial" w:hAnsi="Arial" w:cs="Arial"/>
        </w:rPr>
        <w:t xml:space="preserve"> </w:t>
      </w:r>
    </w:p>
    <w:p w14:paraId="08EA668E" w14:textId="4C05CCED" w:rsidR="00A06E64" w:rsidRDefault="00A06E64" w:rsidP="00A06E64">
      <w:pPr>
        <w:numPr>
          <w:ilvl w:val="1"/>
          <w:numId w:val="21"/>
        </w:numPr>
        <w:rPr>
          <w:rFonts w:ascii="Arial" w:hAnsi="Arial" w:cs="Arial"/>
        </w:rPr>
      </w:pPr>
      <w:r>
        <w:rPr>
          <w:rFonts w:ascii="Arial" w:hAnsi="Arial" w:cs="Arial"/>
        </w:rPr>
        <w:t>Section 2.6</w:t>
      </w:r>
    </w:p>
    <w:p w14:paraId="57186E15" w14:textId="09543B10" w:rsidR="00A06E64" w:rsidRPr="00A06E64" w:rsidRDefault="00A06E64" w:rsidP="00A06E64">
      <w:pPr>
        <w:numPr>
          <w:ilvl w:val="1"/>
          <w:numId w:val="21"/>
        </w:numPr>
        <w:spacing w:after="120"/>
        <w:rPr>
          <w:rFonts w:ascii="Arial" w:hAnsi="Arial" w:cs="Arial"/>
        </w:rPr>
      </w:pPr>
      <w:r>
        <w:rPr>
          <w:rFonts w:ascii="Arial" w:hAnsi="Arial" w:cs="Arial"/>
        </w:rPr>
        <w:t>Appendix 5</w:t>
      </w: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40"/>
      </w:tblGrid>
      <w:tr w:rsidR="009A3772" w14:paraId="24AF942E" w14:textId="77777777">
        <w:trPr>
          <w:trHeight w:val="350"/>
        </w:trPr>
        <w:tc>
          <w:tcPr>
            <w:tcW w:w="10440" w:type="dxa"/>
            <w:tcBorders>
              <w:bottom w:val="single" w:sz="4" w:space="0" w:color="auto"/>
            </w:tcBorders>
            <w:shd w:val="clear" w:color="auto" w:fill="FFFFFF"/>
            <w:vAlign w:val="center"/>
          </w:tcPr>
          <w:p w14:paraId="6FC99D97" w14:textId="77777777" w:rsidR="009A3772" w:rsidRDefault="009A3772" w:rsidP="00B07C46">
            <w:pPr>
              <w:pStyle w:val="Header"/>
              <w:jc w:val="center"/>
            </w:pPr>
            <w:r>
              <w:t xml:space="preserve">Proposed </w:t>
            </w:r>
            <w:r w:rsidR="00ED4FBF">
              <w:t xml:space="preserve">Verifiable Cost Manual </w:t>
            </w:r>
            <w:r>
              <w:t>Language Revision</w:t>
            </w:r>
          </w:p>
        </w:tc>
      </w:tr>
    </w:tbl>
    <w:p w14:paraId="6953DAFF" w14:textId="77777777" w:rsidR="00A7200E" w:rsidRPr="00F52DF3" w:rsidRDefault="00A7200E" w:rsidP="00A7200E">
      <w:pPr>
        <w:keepNext/>
        <w:tabs>
          <w:tab w:val="left" w:pos="900"/>
        </w:tabs>
        <w:spacing w:before="480" w:after="240"/>
        <w:ind w:left="900" w:hanging="900"/>
        <w:outlineLvl w:val="1"/>
        <w:rPr>
          <w:b/>
        </w:rPr>
      </w:pPr>
      <w:bookmarkStart w:id="2" w:name="_Toc467153230"/>
      <w:bookmarkStart w:id="3" w:name="_Toc136293561"/>
      <w:commentRangeStart w:id="4"/>
      <w:r w:rsidRPr="00F52DF3">
        <w:rPr>
          <w:b/>
        </w:rPr>
        <w:t>2.6</w:t>
      </w:r>
      <w:commentRangeEnd w:id="4"/>
      <w:r w:rsidR="00C15A93">
        <w:rPr>
          <w:rStyle w:val="CommentReference"/>
        </w:rPr>
        <w:commentReference w:id="4"/>
      </w:r>
      <w:r w:rsidRPr="00F52DF3">
        <w:rPr>
          <w:b/>
        </w:rPr>
        <w:tab/>
      </w:r>
      <w:bookmarkStart w:id="5" w:name="_Toc378853647"/>
      <w:r w:rsidRPr="00F52DF3">
        <w:rPr>
          <w:b/>
        </w:rPr>
        <w:t>Additional Rules for Submitting Emission Costs</w:t>
      </w:r>
      <w:bookmarkEnd w:id="2"/>
      <w:bookmarkEnd w:id="3"/>
      <w:bookmarkEnd w:id="5"/>
    </w:p>
    <w:p w14:paraId="5105628B" w14:textId="77777777" w:rsidR="00A7200E" w:rsidRPr="00F52DF3" w:rsidRDefault="00A7200E" w:rsidP="00A7200E">
      <w:pPr>
        <w:spacing w:before="120" w:after="120"/>
        <w:ind w:left="720" w:hanging="720"/>
      </w:pPr>
      <w:r w:rsidRPr="00F52DF3">
        <w:t>(1)</w:t>
      </w:r>
      <w:r w:rsidRPr="00F52DF3">
        <w:tab/>
        <w:t>Verifiable cost data may include the cost of purchasing emission credits but only to the extent necessary to meet environmental regulations associated with the operation of the specific Resource.  ERCOT will not approve emission costs of any type unless they are sufficiently documented.  When submitting emission costs the following procedures apply:</w:t>
      </w:r>
    </w:p>
    <w:p w14:paraId="56A25CA4" w14:textId="77777777" w:rsidR="00A7200E" w:rsidRPr="00F52DF3" w:rsidRDefault="00A7200E" w:rsidP="00A7200E">
      <w:pPr>
        <w:spacing w:before="120" w:after="120"/>
        <w:ind w:left="1440" w:hanging="720"/>
      </w:pPr>
      <w:r w:rsidRPr="00F52DF3">
        <w:t>(a)</w:t>
      </w:r>
      <w:r w:rsidRPr="00F52DF3">
        <w:tab/>
        <w:t xml:space="preserve">Filing Entities submitting emission costs per-start must do so for each start type, cold, hot and intermediate.   ERCOT will calculate Verifiable Startup Emission Costs ($/start) for a Resource by using Equation 4 described in Section 14, </w:t>
      </w:r>
      <w:r>
        <w:t xml:space="preserve">Appendices, </w:t>
      </w:r>
      <w:r w:rsidRPr="00F52DF3">
        <w:t>Appendix 5, Specification of Relevant Equations.</w:t>
      </w:r>
    </w:p>
    <w:p w14:paraId="2DC8D9DE" w14:textId="77777777" w:rsidR="00A7200E" w:rsidRPr="00F52DF3" w:rsidRDefault="00A7200E" w:rsidP="00A7200E">
      <w:pPr>
        <w:spacing w:before="120" w:after="120"/>
        <w:ind w:left="1440" w:hanging="720"/>
      </w:pPr>
      <w:r w:rsidRPr="00F52DF3">
        <w:t>(b)</w:t>
      </w:r>
      <w:r w:rsidRPr="00F52DF3">
        <w:tab/>
        <w:t xml:space="preserve">Emission costs incurred while operating the Resource at the Minimum-Energy level or above </w:t>
      </w:r>
      <w:r>
        <w:t>Low Sustained Limit (</w:t>
      </w:r>
      <w:r w:rsidRPr="00F52DF3">
        <w:t>LSL</w:t>
      </w:r>
      <w:r>
        <w:t>)</w:t>
      </w:r>
      <w:r w:rsidRPr="00F52DF3">
        <w:t xml:space="preserve"> are calculated on a $/MWh basis.  ERCOT will calculate Verifiable emission costs ($/MWh) at LSL by using Equation 5 described in Section 14, </w:t>
      </w:r>
      <w:r>
        <w:t xml:space="preserve">Appendices, </w:t>
      </w:r>
      <w:r w:rsidRPr="00F52DF3">
        <w:t>Appendix 5.</w:t>
      </w:r>
    </w:p>
    <w:p w14:paraId="0D5AEEC5" w14:textId="77777777" w:rsidR="00A7200E" w:rsidRPr="00F52DF3" w:rsidRDefault="00A7200E" w:rsidP="00A7200E">
      <w:pPr>
        <w:spacing w:before="120" w:after="120"/>
        <w:ind w:left="1440" w:hanging="720"/>
      </w:pPr>
      <w:r w:rsidRPr="00F52DF3">
        <w:t>(c)</w:t>
      </w:r>
      <w:r w:rsidRPr="00F52DF3">
        <w:tab/>
        <w:t>Resources may include the cost of NOx, and SO2 emissions requirements as part of the verifiable cost for:</w:t>
      </w:r>
    </w:p>
    <w:p w14:paraId="7486BC3A" w14:textId="77777777" w:rsidR="00A7200E" w:rsidRPr="00F52DF3" w:rsidRDefault="00A7200E" w:rsidP="00A7200E">
      <w:pPr>
        <w:spacing w:before="120" w:after="120"/>
        <w:ind w:left="2160" w:hanging="720"/>
      </w:pPr>
      <w:r w:rsidRPr="00F52DF3">
        <w:t>(i)</w:t>
      </w:r>
      <w:r w:rsidRPr="00F52DF3">
        <w:tab/>
        <w:t>Non-attainment Area for NOx in Houston-Galveston-Brazoria</w:t>
      </w:r>
    </w:p>
    <w:p w14:paraId="6FEFF3E7" w14:textId="002B9385" w:rsidR="00A7200E" w:rsidRPr="00F52DF3" w:rsidRDefault="00A7200E" w:rsidP="00A7200E">
      <w:pPr>
        <w:spacing w:before="120" w:after="120"/>
        <w:ind w:left="2160" w:hanging="720"/>
      </w:pPr>
      <w:r w:rsidRPr="00F52DF3">
        <w:t>(ii)</w:t>
      </w:r>
      <w:r w:rsidRPr="00F52DF3">
        <w:tab/>
        <w:t>The</w:t>
      </w:r>
      <w:ins w:id="6" w:author="Luminant" w:date="2024-06-26T11:11:00Z">
        <w:r w:rsidR="004B21AA">
          <w:t xml:space="preserve"> Cross-State Air </w:t>
        </w:r>
      </w:ins>
      <w:ins w:id="7" w:author="Luminant" w:date="2024-07-23T14:27:00Z">
        <w:r w:rsidR="00FF6398">
          <w:t>Pollution</w:t>
        </w:r>
      </w:ins>
      <w:ins w:id="8" w:author="Luminant" w:date="2024-06-26T11:12:00Z">
        <w:r w:rsidR="004B21AA">
          <w:t xml:space="preserve"> Rule (CASPR)</w:t>
        </w:r>
      </w:ins>
      <w:r w:rsidRPr="00F52DF3">
        <w:t xml:space="preserve"> </w:t>
      </w:r>
      <w:del w:id="9" w:author="Luminant" w:date="2024-06-26T11:12:00Z">
        <w:r w:rsidRPr="00F52DF3" w:rsidDel="004B21AA">
          <w:delText>Clean Air Interstate Rule (CAIR)</w:delText>
        </w:r>
      </w:del>
      <w:r w:rsidRPr="00F52DF3">
        <w:t xml:space="preserve"> or other federal regulations for NOx and SO2, using Equations 4 and 5 as described in Section 14, </w:t>
      </w:r>
      <w:r>
        <w:t xml:space="preserve">Appendices, </w:t>
      </w:r>
      <w:r w:rsidRPr="00F52DF3">
        <w:t>Appendix 5.</w:t>
      </w:r>
    </w:p>
    <w:p w14:paraId="636CE86A" w14:textId="77777777" w:rsidR="00A7200E" w:rsidRPr="00F52DF3" w:rsidRDefault="00A7200E" w:rsidP="00A7200E">
      <w:pPr>
        <w:spacing w:before="120" w:after="120"/>
        <w:ind w:left="1440" w:hanging="720"/>
      </w:pPr>
      <w:r w:rsidRPr="00F52DF3">
        <w:t>(d)</w:t>
      </w:r>
      <w:r w:rsidRPr="00F52DF3">
        <w:tab/>
        <w:t xml:space="preserve">For verifying the emission rates, the Filing Entity may submit the historic calendar annual average for the unit-specific emission rates reported to </w:t>
      </w:r>
      <w:r>
        <w:t>Texas Commission on Environmental Quality (</w:t>
      </w:r>
      <w:r w:rsidRPr="00F52DF3">
        <w:t>TCEQ</w:t>
      </w:r>
      <w:r>
        <w:t>)</w:t>
      </w:r>
      <w:r w:rsidRPr="00F52DF3">
        <w:t xml:space="preserve"> and or E</w:t>
      </w:r>
      <w:r>
        <w:t>nvironmental Protection Agency (EPA)</w:t>
      </w:r>
      <w:r w:rsidRPr="00F52DF3">
        <w:t xml:space="preserve"> by April 30 of the applicable year, if deemed necessary by the Filing Entity.</w:t>
      </w:r>
    </w:p>
    <w:p w14:paraId="641D2251" w14:textId="02982E48" w:rsidR="00A7200E" w:rsidRPr="00F52DF3" w:rsidRDefault="00A7200E" w:rsidP="00A7200E">
      <w:pPr>
        <w:spacing w:before="120" w:after="120"/>
        <w:ind w:left="1440" w:hanging="720"/>
      </w:pPr>
      <w:r w:rsidRPr="00F52DF3">
        <w:t>(e)</w:t>
      </w:r>
      <w:r w:rsidRPr="00F52DF3">
        <w:tab/>
        <w:t xml:space="preserve">Emission prices for </w:t>
      </w:r>
      <w:bookmarkStart w:id="10" w:name="OLE_LINK11"/>
      <w:bookmarkStart w:id="11" w:name="OLE_LINK14"/>
      <w:r w:rsidRPr="00F52DF3">
        <w:t>SO2</w:t>
      </w:r>
      <w:bookmarkEnd w:id="10"/>
      <w:bookmarkEnd w:id="11"/>
      <w:r w:rsidRPr="00F52DF3">
        <w:t xml:space="preserve"> and NOx will be obtained by ERCOT and will be based on </w:t>
      </w:r>
      <w:ins w:id="12" w:author="Luminant" w:date="2024-06-26T11:04:00Z">
        <w:r w:rsidR="004B21AA">
          <w:t xml:space="preserve">seasonal index prices for the months May through September and annual index </w:t>
        </w:r>
      </w:ins>
      <w:ins w:id="13" w:author="Luminant" w:date="2024-06-26T11:05:00Z">
        <w:r w:rsidR="004B21AA">
          <w:t xml:space="preserve">prices for October through April </w:t>
        </w:r>
      </w:ins>
      <w:del w:id="14" w:author="Luminant" w:date="2024-06-26T11:05:00Z">
        <w:r w:rsidRPr="00F52DF3" w:rsidDel="004B21AA">
          <w:delText xml:space="preserve">average monthly index prices </w:delText>
        </w:r>
      </w:del>
      <w:r w:rsidRPr="00F52DF3">
        <w:t xml:space="preserve">selected by ERCOT that are generally accepted in the industry and regularly published.  </w:t>
      </w:r>
      <w:del w:id="15" w:author="Luminant" w:date="2024-06-26T11:05:00Z">
        <w:r w:rsidRPr="00F52DF3" w:rsidDel="004B21AA">
          <w:delText>ERCOT will calculate monthly indices using the arithmetic average of the prices published during business days for the first 15 days of the month prior to the effective month.</w:delText>
        </w:r>
      </w:del>
      <w:r w:rsidRPr="00F52DF3">
        <w:t xml:space="preserve">  </w:t>
      </w:r>
    </w:p>
    <w:p w14:paraId="4CBA6846" w14:textId="77777777" w:rsidR="00A7200E" w:rsidRPr="00F52DF3" w:rsidRDefault="00A7200E" w:rsidP="00A7200E">
      <w:pPr>
        <w:spacing w:before="120" w:after="120"/>
        <w:ind w:left="1440" w:hanging="720"/>
      </w:pPr>
      <w:r w:rsidRPr="00F52DF3">
        <w:lastRenderedPageBreak/>
        <w:t>(f)</w:t>
      </w:r>
      <w:r w:rsidRPr="00F52DF3">
        <w:tab/>
        <w:t xml:space="preserve">ERCOT will disclose to Market Participants the source of its selected price indices, along with descriptions of the nature and derivation of the indices as available from the publishers of those indices.  In the event that an ERCOT selected index becomes unavailable or unsuitable for the intended purpose, ERCOT will select a substitute index source.  ERCOT will notify Market Participants of any change in the index, along with a description of the nature and derivation of the substitute index and a summary of the reasons for the change, </w:t>
      </w:r>
      <w:r>
        <w:t>60</w:t>
      </w:r>
      <w:r w:rsidRPr="00F52DF3">
        <w:t xml:space="preserve"> days prior to the beginning of its use.  However, in the event that </w:t>
      </w:r>
      <w:r>
        <w:t>6</w:t>
      </w:r>
      <w:r w:rsidRPr="00F52DF3">
        <w:t>0 days notice cannot be given for any reason, ERCOT will notify Market Participants as far prior to use as practical.</w:t>
      </w:r>
    </w:p>
    <w:p w14:paraId="263F2005" w14:textId="1C54D4E0" w:rsidR="00A7200E" w:rsidRPr="00F52DF3" w:rsidRDefault="00A7200E" w:rsidP="00A7200E">
      <w:pPr>
        <w:spacing w:before="120" w:after="120"/>
        <w:ind w:left="1440" w:hanging="720"/>
      </w:pPr>
      <w:r w:rsidRPr="00F52DF3">
        <w:t>(g)</w:t>
      </w:r>
      <w:r w:rsidRPr="00F52DF3">
        <w:tab/>
        <w:t xml:space="preserve">On a monthly basis, ERCOT will recalculate each Resource’s emission costs for SO2 and NOx utilizing the emission prices taken from the indices described </w:t>
      </w:r>
      <w:ins w:id="16" w:author="Luminant" w:date="2024-06-26T11:06:00Z">
        <w:r w:rsidR="004B21AA">
          <w:t>in</w:t>
        </w:r>
      </w:ins>
      <w:ins w:id="17" w:author="Luminant" w:date="2024-07-23T14:28:00Z">
        <w:r w:rsidR="00FF6398">
          <w:t xml:space="preserve"> paragraph</w:t>
        </w:r>
      </w:ins>
      <w:ins w:id="18" w:author="Luminant" w:date="2024-06-26T11:06:00Z">
        <w:r w:rsidR="004B21AA">
          <w:t xml:space="preserve"> 1(e) </w:t>
        </w:r>
      </w:ins>
      <w:r w:rsidRPr="00F52DF3">
        <w:t xml:space="preserve">above. The new emission costs will replace the emission costs in the previously approved </w:t>
      </w:r>
      <w:r>
        <w:t>Operations &amp; Maintenance (</w:t>
      </w:r>
      <w:r w:rsidRPr="00F52DF3">
        <w:t>O&amp;M</w:t>
      </w:r>
      <w:r>
        <w:t>)</w:t>
      </w:r>
      <w:r w:rsidRPr="00F52DF3">
        <w:t xml:space="preserve"> Verifiable Costs totals.  </w:t>
      </w:r>
    </w:p>
    <w:p w14:paraId="5EBC2A72" w14:textId="77777777" w:rsidR="00A7200E" w:rsidRPr="00F52DF3" w:rsidRDefault="368B0A77" w:rsidP="00A7200E">
      <w:pPr>
        <w:spacing w:before="120" w:after="120"/>
        <w:ind w:left="1440" w:hanging="720"/>
      </w:pPr>
      <w:r>
        <w:t>(h)</w:t>
      </w:r>
      <w:bookmarkStart w:id="19" w:name="OLE_LINK15"/>
      <w:bookmarkStart w:id="20" w:name="OLE_LINK16"/>
      <w:r w:rsidR="00A7200E">
        <w:tab/>
      </w:r>
      <w:r>
        <w:t>ERCOT emission cost calculations for each Resource will be completed</w:t>
      </w:r>
      <w:r w:rsidR="00A7200E">
        <w:t xml:space="preserve"> by</w:t>
      </w:r>
      <w:r>
        <w:t xml:space="preserve"> and the new approved O&amp;M Verifiable Costs will be made available to Filing Entities eight days prior to the first day of each effective month.  The effective period for use of these new emission costs will be the first day of each calendar month through the end of the same month.</w:t>
      </w:r>
    </w:p>
    <w:p w14:paraId="73B52DF4" w14:textId="679177AC" w:rsidR="00A7200E" w:rsidRPr="00F52DF3" w:rsidRDefault="00A7200E" w:rsidP="00A7200E">
      <w:pPr>
        <w:spacing w:before="120" w:after="240"/>
        <w:ind w:left="1440" w:hanging="720"/>
      </w:pPr>
      <w:r w:rsidRPr="00F52DF3">
        <w:t>(i)</w:t>
      </w:r>
      <w:r w:rsidRPr="00F52DF3">
        <w:tab/>
        <w:t xml:space="preserve">As a trading market develops pertaining to emissions limits at a state and or regional level, the costs associated </w:t>
      </w:r>
      <w:ins w:id="21" w:author="Luminant" w:date="2024-06-26T11:08:00Z">
        <w:r w:rsidR="004B21AA">
          <w:t>with</w:t>
        </w:r>
      </w:ins>
      <w:del w:id="22" w:author="Luminant" w:date="2024-06-26T11:08:00Z">
        <w:r w:rsidRPr="00F52DF3" w:rsidDel="004B21AA">
          <w:delText>to</w:delText>
        </w:r>
      </w:del>
      <w:r w:rsidRPr="00F52DF3">
        <w:t xml:space="preserve"> comply</w:t>
      </w:r>
      <w:ins w:id="23" w:author="Luminant" w:date="2024-06-26T11:08:00Z">
        <w:r w:rsidR="004B21AA">
          <w:t>ing</w:t>
        </w:r>
      </w:ins>
      <w:r w:rsidRPr="00F52DF3">
        <w:t xml:space="preserve"> with emission restrictions may be eligible to be recovered and be part of the verifiable cost methodology.  At the appropriate time, any market participant may propose a methodology to the </w:t>
      </w:r>
      <w:r>
        <w:t>Resource</w:t>
      </w:r>
      <w:r w:rsidRPr="00F52DF3">
        <w:t xml:space="preserve"> Cost Working Group</w:t>
      </w:r>
      <w:r>
        <w:t xml:space="preserve"> (RCWG)</w:t>
      </w:r>
      <w:r w:rsidRPr="00F52DF3">
        <w:t xml:space="preserve"> to recuperate the emission costs in the applicable non-attainment area, which will be addressed in the Verifiable Cost </w:t>
      </w:r>
      <w:r>
        <w:t>M</w:t>
      </w:r>
      <w:r w:rsidRPr="00F52DF3">
        <w:t>anual.</w:t>
      </w:r>
    </w:p>
    <w:p w14:paraId="49D4BD46" w14:textId="06C03350" w:rsidR="00A7200E" w:rsidRPr="00F52DF3" w:rsidRDefault="00945015" w:rsidP="00A7200E">
      <w:pPr>
        <w:keepNext/>
        <w:outlineLvl w:val="0"/>
        <w:rPr>
          <w:rFonts w:ascii="Arial" w:hAnsi="Arial" w:cs="Arial"/>
          <w:bCs/>
          <w:kern w:val="32"/>
          <w:sz w:val="32"/>
          <w:szCs w:val="32"/>
        </w:rPr>
      </w:pPr>
      <w:bookmarkStart w:id="24" w:name="_Toc378853731"/>
      <w:bookmarkStart w:id="25" w:name="_Toc467153325"/>
      <w:bookmarkStart w:id="26" w:name="_Toc136293655"/>
      <w:bookmarkEnd w:id="19"/>
      <w:bookmarkEnd w:id="20"/>
      <w:ins w:id="27" w:author="Luminant" w:date="2024-06-26T11:17:00Z">
        <w:r>
          <w:rPr>
            <w:b/>
            <w:bCs/>
            <w:kern w:val="32"/>
            <w:sz w:val="32"/>
            <w:szCs w:val="32"/>
          </w:rPr>
          <w:br w:type="page"/>
        </w:r>
      </w:ins>
      <w:commentRangeStart w:id="28"/>
      <w:r w:rsidR="00A7200E" w:rsidRPr="00F52DF3">
        <w:rPr>
          <w:b/>
          <w:bCs/>
          <w:kern w:val="32"/>
          <w:sz w:val="32"/>
          <w:szCs w:val="32"/>
        </w:rPr>
        <w:lastRenderedPageBreak/>
        <w:t>Appendix 5</w:t>
      </w:r>
      <w:commentRangeEnd w:id="28"/>
      <w:r w:rsidR="00C15A93">
        <w:rPr>
          <w:rStyle w:val="CommentReference"/>
        </w:rPr>
        <w:commentReference w:id="28"/>
      </w:r>
      <w:r w:rsidR="00A7200E" w:rsidRPr="00F52DF3">
        <w:rPr>
          <w:b/>
          <w:bCs/>
          <w:kern w:val="32"/>
          <w:sz w:val="32"/>
          <w:szCs w:val="32"/>
        </w:rPr>
        <w:t>:  Specification of Relevant Equations</w:t>
      </w:r>
      <w:bookmarkEnd w:id="24"/>
      <w:bookmarkEnd w:id="25"/>
      <w:bookmarkEnd w:id="26"/>
    </w:p>
    <w:p w14:paraId="016DF209" w14:textId="77777777" w:rsidR="00A7200E" w:rsidRPr="00F02810" w:rsidRDefault="00A7200E" w:rsidP="00A7200E">
      <w:pPr>
        <w:keepNext/>
        <w:spacing w:before="240" w:after="240"/>
        <w:outlineLvl w:val="2"/>
        <w:rPr>
          <w:b/>
          <w:bCs/>
          <w:lang w:eastAsia="x-none"/>
        </w:rPr>
      </w:pPr>
      <w:bookmarkStart w:id="29" w:name="_Toc136293656"/>
      <w:r w:rsidRPr="00F02810">
        <w:rPr>
          <w:b/>
          <w:bCs/>
          <w:lang w:eastAsia="x-none"/>
        </w:rPr>
        <w:t>Equation 1:  Verifiable Startup Offer Cap ($/Start)</w:t>
      </w:r>
      <w:bookmarkEnd w:id="29"/>
    </w:p>
    <w:p w14:paraId="71EB014F" w14:textId="77777777" w:rsidR="00A7200E" w:rsidRPr="00F52DF3" w:rsidRDefault="00A7200E" w:rsidP="00A7200E"/>
    <w:p w14:paraId="5F9E1CD3" w14:textId="77777777" w:rsidR="00A7200E" w:rsidRPr="00F52DF3" w:rsidRDefault="00A7200E" w:rsidP="00A7200E">
      <w:r w:rsidRPr="00F52DF3">
        <w:t>Verifiable Startup Offer Cap ($/Start) = DAFCRS (MMBtu/Start) * [(GASPERSU*FIP + OILPERSU*FOP)/100] + VOMS</w:t>
      </w:r>
    </w:p>
    <w:p w14:paraId="4FC4AA09" w14:textId="77777777" w:rsidR="00A7200E" w:rsidRPr="00F52DF3" w:rsidRDefault="00A7200E" w:rsidP="00A7200E"/>
    <w:p w14:paraId="46BBFDE0" w14:textId="77777777" w:rsidR="00A7200E" w:rsidRPr="00F52DF3" w:rsidRDefault="00A7200E" w:rsidP="00A7200E">
      <w:pPr>
        <w:ind w:left="1440" w:hanging="1440"/>
      </w:pPr>
      <w:r w:rsidRPr="00F52DF3">
        <w:t>Where:</w:t>
      </w:r>
      <w:r w:rsidRPr="00F52DF3">
        <w:tab/>
        <w:t>DAFCRS = Total Fuel * (1+VOX</w:t>
      </w:r>
      <w:r>
        <w:t>R</w:t>
      </w:r>
      <w:r w:rsidRPr="00F52DF3">
        <w:t xml:space="preserve">) </w:t>
      </w:r>
    </w:p>
    <w:p w14:paraId="350755B7" w14:textId="77777777" w:rsidR="00A7200E" w:rsidRPr="00F52DF3" w:rsidRDefault="00A7200E" w:rsidP="00A7200E">
      <w:pPr>
        <w:ind w:left="1440" w:hanging="1440"/>
      </w:pPr>
      <w:r w:rsidRPr="00F52DF3">
        <w:tab/>
        <w:t>Total Fuel = [Fuel</w:t>
      </w:r>
      <w:r w:rsidRPr="00F52DF3">
        <w:rPr>
          <w:vertAlign w:val="subscript"/>
        </w:rPr>
        <w:t xml:space="preserve">Startup-BC </w:t>
      </w:r>
      <w:r w:rsidRPr="00F52DF3">
        <w:t>+ Fuel</w:t>
      </w:r>
      <w:r w:rsidRPr="00F52DF3">
        <w:rPr>
          <w:vertAlign w:val="subscript"/>
        </w:rPr>
        <w:t xml:space="preserve">BC-LSL </w:t>
      </w:r>
      <w:r w:rsidRPr="00F52DF3">
        <w:t>+ Fuel</w:t>
      </w:r>
      <w:r w:rsidRPr="00F52DF3">
        <w:rPr>
          <w:vertAlign w:val="subscript"/>
        </w:rPr>
        <w:t>BO-Shutdown</w:t>
      </w:r>
      <w:r w:rsidRPr="00F52DF3">
        <w:t>]</w:t>
      </w:r>
    </w:p>
    <w:p w14:paraId="75701110" w14:textId="77777777" w:rsidR="00A7200E" w:rsidRPr="00F52DF3" w:rsidRDefault="00A7200E" w:rsidP="00A7200E">
      <w:pPr>
        <w:ind w:left="1440" w:hanging="1440"/>
      </w:pPr>
    </w:p>
    <w:p w14:paraId="674B8CDE" w14:textId="77777777" w:rsidR="00A7200E" w:rsidRPr="00F52DF3" w:rsidRDefault="00A7200E" w:rsidP="00A7200E">
      <w:r w:rsidRPr="00F52DF3">
        <w:t xml:space="preserve">The bill determinants utilized above are defined as: </w:t>
      </w:r>
    </w:p>
    <w:p w14:paraId="58681CCE" w14:textId="77777777" w:rsidR="00A7200E" w:rsidRPr="00F52DF3" w:rsidRDefault="00A7200E" w:rsidP="00A7200E"/>
    <w:p w14:paraId="2D25E3DA" w14:textId="77777777" w:rsidR="00A7200E" w:rsidRPr="00F52DF3" w:rsidRDefault="00A7200E" w:rsidP="00A7200E">
      <w:pPr>
        <w:ind w:left="1440"/>
      </w:pPr>
      <w:r w:rsidRPr="00F52DF3">
        <w:t>DAFCRS = the adjusted verified fuel consumption for the start type (MMBtu/Start)</w:t>
      </w:r>
    </w:p>
    <w:p w14:paraId="21A2F3F2" w14:textId="77777777" w:rsidR="00A7200E" w:rsidRPr="00F52DF3" w:rsidRDefault="00A7200E" w:rsidP="00A7200E">
      <w:r w:rsidRPr="00F52DF3">
        <w:tab/>
      </w:r>
      <w:r w:rsidRPr="00F52DF3">
        <w:tab/>
        <w:t>GASPERSU = Percentage of natural gas used for a start</w:t>
      </w:r>
    </w:p>
    <w:p w14:paraId="037544EA" w14:textId="77777777" w:rsidR="00A7200E" w:rsidRPr="00F52DF3" w:rsidRDefault="00A7200E" w:rsidP="00A7200E">
      <w:r w:rsidRPr="00F52DF3">
        <w:tab/>
      </w:r>
      <w:r w:rsidRPr="00F52DF3">
        <w:tab/>
        <w:t>FIP = Fuel Index Price ($/MMBtu)</w:t>
      </w:r>
    </w:p>
    <w:p w14:paraId="44E168C0" w14:textId="77777777" w:rsidR="00A7200E" w:rsidRPr="00F52DF3" w:rsidRDefault="00A7200E" w:rsidP="00A7200E">
      <w:r w:rsidRPr="00F52DF3">
        <w:tab/>
      </w:r>
      <w:r w:rsidRPr="00F52DF3">
        <w:tab/>
        <w:t>OILPERSU = Percentage of oil used for a start</w:t>
      </w:r>
    </w:p>
    <w:p w14:paraId="167C59E1" w14:textId="77777777" w:rsidR="00A7200E" w:rsidRPr="00F52DF3" w:rsidRDefault="00A7200E" w:rsidP="00A7200E">
      <w:r w:rsidRPr="00F52DF3">
        <w:tab/>
      </w:r>
      <w:r w:rsidRPr="00F52DF3">
        <w:tab/>
        <w:t>FOP = Fuel Oil Price ($/MMBtu)</w:t>
      </w:r>
    </w:p>
    <w:p w14:paraId="3B90D532" w14:textId="77777777" w:rsidR="00A7200E" w:rsidRPr="00F52DF3" w:rsidRDefault="00A7200E" w:rsidP="00A7200E">
      <w:pPr>
        <w:ind w:left="1440"/>
      </w:pPr>
      <w:r w:rsidRPr="00F52DF3">
        <w:t>VOMS = the verified O&amp;M cost for a hot start ($/Start)</w:t>
      </w:r>
    </w:p>
    <w:p w14:paraId="3E4FAB71" w14:textId="77777777" w:rsidR="00A7200E" w:rsidRPr="00F52DF3" w:rsidRDefault="00A7200E" w:rsidP="00A7200E">
      <w:pPr>
        <w:ind w:left="1440"/>
      </w:pPr>
      <w:r w:rsidRPr="00F52DF3">
        <w:t>VOX</w:t>
      </w:r>
      <w:r>
        <w:t>R</w:t>
      </w:r>
      <w:r w:rsidRPr="00F52DF3">
        <w:t>= Value of X</w:t>
      </w:r>
      <w:r>
        <w:t xml:space="preserve"> for the Resource</w:t>
      </w:r>
      <w:r w:rsidRPr="00F52DF3">
        <w:t xml:space="preserve"> </w:t>
      </w:r>
    </w:p>
    <w:p w14:paraId="1170E472" w14:textId="77777777" w:rsidR="00A7200E" w:rsidRPr="00F52DF3" w:rsidRDefault="00A7200E" w:rsidP="00A7200E">
      <w:pPr>
        <w:ind w:left="1440"/>
      </w:pPr>
      <w:r w:rsidRPr="00F52DF3">
        <w:t>Fuel</w:t>
      </w:r>
      <w:r w:rsidRPr="00F52DF3">
        <w:rPr>
          <w:vertAlign w:val="subscript"/>
        </w:rPr>
        <w:t>Startup-BC</w:t>
      </w:r>
      <w:r w:rsidRPr="00F52DF3">
        <w:t>= Fuel quantity required to bring Resource from Startup to Breaker Close (MMBtu)</w:t>
      </w:r>
    </w:p>
    <w:p w14:paraId="32F8AD73" w14:textId="77777777" w:rsidR="00A7200E" w:rsidRPr="00F52DF3" w:rsidRDefault="00A7200E" w:rsidP="00A7200E">
      <w:pPr>
        <w:ind w:left="1440"/>
      </w:pPr>
      <w:r w:rsidRPr="00F52DF3">
        <w:t>Fuel</w:t>
      </w:r>
      <w:r w:rsidRPr="00F52DF3">
        <w:rPr>
          <w:vertAlign w:val="subscript"/>
        </w:rPr>
        <w:t>BC-LSL</w:t>
      </w:r>
      <w:r w:rsidRPr="00F52DF3">
        <w:t>= Fuel quantity required to bring Resource from Breaker Close to Minimum Energy at LSL (MMBtu)</w:t>
      </w:r>
    </w:p>
    <w:p w14:paraId="0922EBEC" w14:textId="77777777" w:rsidR="00A7200E" w:rsidRPr="00F52DF3" w:rsidRDefault="00A7200E" w:rsidP="00A7200E">
      <w:pPr>
        <w:ind w:left="1440"/>
      </w:pPr>
      <w:r w:rsidRPr="00F52DF3">
        <w:t>Fuel</w:t>
      </w:r>
      <w:r w:rsidRPr="00F52DF3">
        <w:rPr>
          <w:vertAlign w:val="subscript"/>
        </w:rPr>
        <w:t>BO-Shutdown</w:t>
      </w:r>
      <w:r w:rsidRPr="00F52DF3">
        <w:t>= Fuel quantity required to take Resource from Breaker Open to Shutdown (MMBtu)</w:t>
      </w:r>
    </w:p>
    <w:p w14:paraId="1BC179BB" w14:textId="77777777" w:rsidR="00A7200E" w:rsidRPr="00F52DF3" w:rsidRDefault="00A7200E" w:rsidP="00A7200E"/>
    <w:p w14:paraId="6867A8DD" w14:textId="77777777" w:rsidR="00A7200E" w:rsidRPr="00F52DF3" w:rsidRDefault="00A7200E" w:rsidP="00A7200E">
      <w:r w:rsidRPr="00F52DF3">
        <w:t>Note 1: GASPERSU and OILPERSU are decimal percentages in the Settlements equations and will be multiplied by 100 during the Integration process.</w:t>
      </w:r>
    </w:p>
    <w:p w14:paraId="6BC60D62" w14:textId="77777777" w:rsidR="00A7200E" w:rsidRPr="00F52DF3" w:rsidRDefault="00A7200E" w:rsidP="00A7200E"/>
    <w:p w14:paraId="27FC6668" w14:textId="77777777" w:rsidR="00A7200E" w:rsidRPr="00F52DF3" w:rsidRDefault="00A7200E" w:rsidP="00A7200E">
      <w:r w:rsidRPr="00F52DF3">
        <w:t>Note 2: ERCOT will use the solid fuel price and percentages to create Startup offers when no offer is submitted by the QSE for solid fuel Resources.</w:t>
      </w:r>
    </w:p>
    <w:p w14:paraId="18F17CB9" w14:textId="77777777" w:rsidR="00A7200E" w:rsidRPr="00F52DF3" w:rsidRDefault="00A7200E" w:rsidP="00A7200E"/>
    <w:p w14:paraId="034A8FFD" w14:textId="77777777" w:rsidR="00A7200E" w:rsidRPr="00F52DF3" w:rsidRDefault="00A7200E" w:rsidP="00A7200E">
      <w:r w:rsidRPr="00F52DF3">
        <w:t>Note 3: This equation does not include any adjustments made to the final calculation of the Startup Offer cap, as described in Protocol Section 4.4.9.2.1, Startup Offer and Minimum-Energy Offer Criteria</w:t>
      </w:r>
      <w:r w:rsidRPr="00F52DF3">
        <w:rPr>
          <w:i/>
        </w:rPr>
        <w:t>.</w:t>
      </w:r>
    </w:p>
    <w:p w14:paraId="5E829B06" w14:textId="77777777" w:rsidR="00A7200E" w:rsidRPr="00F52DF3" w:rsidRDefault="00A7200E" w:rsidP="00A7200E"/>
    <w:p w14:paraId="53822546" w14:textId="77777777" w:rsidR="00A7200E" w:rsidRPr="007E66C1" w:rsidRDefault="00A7200E" w:rsidP="00A7200E">
      <w:pPr>
        <w:keepNext/>
        <w:spacing w:before="240" w:after="240"/>
        <w:outlineLvl w:val="2"/>
        <w:rPr>
          <w:b/>
        </w:rPr>
      </w:pPr>
      <w:bookmarkStart w:id="30" w:name="_Toc136293657"/>
      <w:r w:rsidRPr="00F02810">
        <w:rPr>
          <w:b/>
          <w:bCs/>
          <w:lang w:eastAsia="x-none"/>
        </w:rPr>
        <w:t>Equation 2:  Verifiable Minimum-Energy Offer Cap ($/MWh)</w:t>
      </w:r>
      <w:bookmarkEnd w:id="30"/>
    </w:p>
    <w:p w14:paraId="42DCD515" w14:textId="77777777" w:rsidR="00A7200E" w:rsidRPr="00F52DF3" w:rsidRDefault="00A7200E" w:rsidP="00A7200E"/>
    <w:p w14:paraId="2CE75AA0" w14:textId="77777777" w:rsidR="00A7200E" w:rsidRPr="00F52DF3" w:rsidRDefault="00A7200E" w:rsidP="00A7200E">
      <w:r w:rsidRPr="00F52DF3">
        <w:t>Verifiable Minimum-Energy Offer Cap ($/MWh) = AHR*[(GASPERME*FIP + OILPERME*FOP)/100] + VOMLSL</w:t>
      </w:r>
    </w:p>
    <w:p w14:paraId="428C775A" w14:textId="77777777" w:rsidR="00A7200E" w:rsidRPr="00F52DF3" w:rsidRDefault="00A7200E" w:rsidP="00A7200E"/>
    <w:p w14:paraId="21CB9F9F" w14:textId="77777777" w:rsidR="00A7200E" w:rsidRPr="00F52DF3" w:rsidRDefault="00A7200E" w:rsidP="00A7200E">
      <w:pPr>
        <w:ind w:left="1440" w:hanging="1440"/>
      </w:pPr>
      <w:r w:rsidRPr="00F52DF3">
        <w:t>Where:</w:t>
      </w:r>
      <w:r w:rsidRPr="00F52DF3">
        <w:tab/>
        <w:t>AHR</w:t>
      </w:r>
      <w:r w:rsidRPr="00F52DF3">
        <w:rPr>
          <w:vertAlign w:val="superscript"/>
        </w:rPr>
        <w:t>(1)</w:t>
      </w:r>
      <w:r w:rsidRPr="00F52DF3">
        <w:t>= Fuel Rate (MMBtu/Hour) divided by LSL (MW)</w:t>
      </w:r>
    </w:p>
    <w:p w14:paraId="1BB76E21" w14:textId="77777777" w:rsidR="00A7200E" w:rsidRPr="00F52DF3" w:rsidRDefault="00A7200E" w:rsidP="00A7200E">
      <w:pPr>
        <w:ind w:left="1440" w:hanging="1440"/>
      </w:pPr>
      <w:r w:rsidRPr="00F52DF3">
        <w:tab/>
        <w:t>GASPERME = Percentage of natural gas used at LSL</w:t>
      </w:r>
    </w:p>
    <w:p w14:paraId="6708B9E2" w14:textId="77777777" w:rsidR="00A7200E" w:rsidRPr="00F52DF3" w:rsidRDefault="00A7200E" w:rsidP="00A7200E">
      <w:pPr>
        <w:ind w:left="1440" w:hanging="1440"/>
      </w:pPr>
      <w:r w:rsidRPr="00F52DF3">
        <w:lastRenderedPageBreak/>
        <w:tab/>
        <w:t>FIP = Fuel Index Price ($/MMBtu)</w:t>
      </w:r>
    </w:p>
    <w:p w14:paraId="54D00165" w14:textId="77777777" w:rsidR="00A7200E" w:rsidRPr="00F52DF3" w:rsidRDefault="00A7200E" w:rsidP="00A7200E">
      <w:pPr>
        <w:ind w:left="1440" w:hanging="1440"/>
      </w:pPr>
      <w:r w:rsidRPr="00F52DF3">
        <w:tab/>
        <w:t>OILPERME = Percentage of oil used at LSL</w:t>
      </w:r>
    </w:p>
    <w:p w14:paraId="4AD267EB" w14:textId="77777777" w:rsidR="00A7200E" w:rsidRPr="00F52DF3" w:rsidRDefault="00A7200E" w:rsidP="00A7200E">
      <w:pPr>
        <w:ind w:left="1440" w:hanging="1440"/>
      </w:pPr>
      <w:r w:rsidRPr="00F52DF3">
        <w:tab/>
        <w:t>FOP = Fuel Oil Price ($/MMBtu)</w:t>
      </w:r>
    </w:p>
    <w:p w14:paraId="04E96F40" w14:textId="77777777" w:rsidR="00A7200E" w:rsidRPr="00F52DF3" w:rsidRDefault="00A7200E" w:rsidP="00A7200E">
      <w:pPr>
        <w:ind w:left="1440"/>
      </w:pPr>
      <w:r w:rsidRPr="00F52DF3">
        <w:t xml:space="preserve">VOMLSL = the verified O&amp;M cost at Minimum-Energy ($/MWh) </w:t>
      </w:r>
    </w:p>
    <w:p w14:paraId="0A5DABAA" w14:textId="77777777" w:rsidR="00A7200E" w:rsidRPr="00F52DF3" w:rsidRDefault="00A7200E" w:rsidP="00A7200E"/>
    <w:p w14:paraId="468F6230" w14:textId="77777777" w:rsidR="00A7200E" w:rsidRPr="00F52DF3" w:rsidRDefault="00A7200E" w:rsidP="00A7200E">
      <w:r w:rsidRPr="00F52DF3">
        <w:rPr>
          <w:vertAlign w:val="superscript"/>
        </w:rPr>
        <w:t xml:space="preserve">(1)  </w:t>
      </w:r>
      <w:r w:rsidRPr="00F52DF3">
        <w:t>Adjusted by VOX</w:t>
      </w:r>
      <w:r>
        <w:t>R</w:t>
      </w:r>
      <w:r w:rsidRPr="00F52DF3">
        <w:t xml:space="preserve"> </w:t>
      </w:r>
    </w:p>
    <w:p w14:paraId="05B6A595" w14:textId="77777777" w:rsidR="00A7200E" w:rsidRPr="00F52DF3" w:rsidRDefault="00A7200E" w:rsidP="00A7200E"/>
    <w:p w14:paraId="4AFAE5F2" w14:textId="77777777" w:rsidR="00A7200E" w:rsidRPr="00F52DF3" w:rsidRDefault="00A7200E" w:rsidP="00A7200E">
      <w:r w:rsidRPr="00F52DF3">
        <w:t>And:</w:t>
      </w:r>
      <w:r w:rsidRPr="00F52DF3">
        <w:tab/>
      </w:r>
      <w:r w:rsidRPr="00F52DF3">
        <w:tab/>
        <w:t>AHR= (verified fuel consumption/LSL)*(1+VOX</w:t>
      </w:r>
      <w:r>
        <w:t>R</w:t>
      </w:r>
      <w:r w:rsidRPr="00F52DF3">
        <w:t>)</w:t>
      </w:r>
    </w:p>
    <w:p w14:paraId="1654642F" w14:textId="77777777" w:rsidR="00A7200E" w:rsidRPr="00F52DF3" w:rsidRDefault="00A7200E" w:rsidP="00A7200E">
      <w:pPr>
        <w:ind w:left="720" w:firstLine="720"/>
      </w:pPr>
    </w:p>
    <w:p w14:paraId="3E942ECC" w14:textId="77777777" w:rsidR="00A7200E" w:rsidRPr="00F52DF3" w:rsidRDefault="00A7200E" w:rsidP="00A7200E">
      <w:r w:rsidRPr="00F52DF3">
        <w:t>Note 1: GASPERME and OILPERME are decimal percentages in the Settlements equations and will be multiplied by 100 during the Integration process.</w:t>
      </w:r>
    </w:p>
    <w:p w14:paraId="55D42C23" w14:textId="77777777" w:rsidR="00A7200E" w:rsidRPr="00F52DF3" w:rsidRDefault="00A7200E" w:rsidP="00A7200E"/>
    <w:p w14:paraId="47AE275C" w14:textId="77777777" w:rsidR="00A7200E" w:rsidRPr="00F52DF3" w:rsidRDefault="00A7200E" w:rsidP="00A7200E">
      <w:r w:rsidRPr="00F52DF3">
        <w:t>Note 2:  ERCOT will use the solid fuel price and percentages to create Startup offers when no offer is submitted by the QSE for solid fuel Resources.</w:t>
      </w:r>
    </w:p>
    <w:p w14:paraId="7F28DCCB" w14:textId="77777777" w:rsidR="00A7200E" w:rsidRPr="00F52DF3" w:rsidRDefault="00A7200E" w:rsidP="00A7200E">
      <w:pPr>
        <w:ind w:left="990" w:hanging="540"/>
      </w:pPr>
    </w:p>
    <w:p w14:paraId="5DAB58EC" w14:textId="77777777" w:rsidR="00A7200E" w:rsidRPr="00F52DF3" w:rsidRDefault="00A7200E" w:rsidP="00A7200E">
      <w:r w:rsidRPr="00F52DF3">
        <w:t>Note 3: This equation does not include any adjustments made to the final calculation of the Minimum-Energy Offer cap, as described in Protocol Section 4.4.9.2.1, Startup Offer and Minimum-Energy Offer Criteria</w:t>
      </w:r>
      <w:r w:rsidRPr="00F52DF3">
        <w:rPr>
          <w:i/>
        </w:rPr>
        <w:t xml:space="preserve">. </w:t>
      </w:r>
    </w:p>
    <w:p w14:paraId="117F3545" w14:textId="77777777" w:rsidR="00A7200E" w:rsidRPr="00F52DF3" w:rsidRDefault="00A7200E" w:rsidP="00A7200E">
      <w:pPr>
        <w:rPr>
          <w:b/>
        </w:rPr>
      </w:pPr>
    </w:p>
    <w:p w14:paraId="582B623F" w14:textId="77777777" w:rsidR="00A7200E" w:rsidRPr="00BA37A0" w:rsidRDefault="00A7200E" w:rsidP="00A7200E">
      <w:pPr>
        <w:keepNext/>
        <w:spacing w:before="240" w:after="240"/>
        <w:outlineLvl w:val="2"/>
        <w:rPr>
          <w:b/>
        </w:rPr>
      </w:pPr>
      <w:bookmarkStart w:id="31" w:name="_Toc136293658"/>
      <w:r w:rsidRPr="00F02810">
        <w:rPr>
          <w:b/>
          <w:bCs/>
          <w:lang w:eastAsia="x-none"/>
        </w:rPr>
        <w:t>Equation 3:  Calculation of Composite Unit Parameters using Alternate Unit Specifications</w:t>
      </w:r>
      <w:bookmarkEnd w:id="31"/>
    </w:p>
    <w:p w14:paraId="1364DDFC" w14:textId="77777777" w:rsidR="00A7200E" w:rsidRPr="00F52DF3" w:rsidRDefault="00A7200E" w:rsidP="00A7200E"/>
    <w:p w14:paraId="1FA4D0E2" w14:textId="77777777" w:rsidR="00A7200E" w:rsidRPr="00F52DF3" w:rsidRDefault="00A7200E" w:rsidP="00A7200E">
      <w:pPr>
        <w:rPr>
          <w:lang w:val="fr-FR"/>
        </w:rPr>
      </w:pPr>
      <w:r w:rsidRPr="00F52DF3">
        <w:rPr>
          <w:lang w:val="fr-FR"/>
        </w:rPr>
        <w:t>Composite Unit Parameter = [Alt_Unit_Par*Alt_Unit_HSL +  Non_Alt_Unit_Par* Non_Alt_Unit_HSL] / [Alt_Unit_HSL + Non_Alt_Unit_HSL]</w:t>
      </w:r>
    </w:p>
    <w:p w14:paraId="10EE3AC2" w14:textId="77777777" w:rsidR="00A7200E" w:rsidRPr="00F52DF3" w:rsidRDefault="00A7200E" w:rsidP="00A7200E">
      <w:pPr>
        <w:rPr>
          <w:lang w:val="fr-FR"/>
        </w:rPr>
      </w:pPr>
    </w:p>
    <w:p w14:paraId="1E50D0FD" w14:textId="77777777" w:rsidR="00A7200E" w:rsidRPr="00F52DF3" w:rsidRDefault="00A7200E" w:rsidP="00A7200E">
      <w:r w:rsidRPr="00F52DF3">
        <w:t>Where:</w:t>
      </w:r>
      <w:r w:rsidRPr="00F52DF3">
        <w:tab/>
      </w:r>
      <w:r w:rsidRPr="00F52DF3">
        <w:tab/>
        <w:t>Alt_Unit_Par = Relevant parameter of Alternate Unit</w:t>
      </w:r>
    </w:p>
    <w:p w14:paraId="1D6E2958" w14:textId="77777777" w:rsidR="00A7200E" w:rsidRPr="00F52DF3" w:rsidRDefault="00A7200E" w:rsidP="00A7200E">
      <w:pPr>
        <w:ind w:left="720" w:firstLine="720"/>
      </w:pPr>
      <w:r w:rsidRPr="00F52DF3">
        <w:t>Alt_Unit_HSL = High Sustained Limit of Alternate Unit</w:t>
      </w:r>
    </w:p>
    <w:p w14:paraId="2634C79F" w14:textId="77777777" w:rsidR="00A7200E" w:rsidRPr="00F52DF3" w:rsidRDefault="00A7200E" w:rsidP="00A7200E">
      <w:pPr>
        <w:ind w:left="720" w:firstLine="720"/>
      </w:pPr>
      <w:r w:rsidRPr="00F52DF3">
        <w:t>Non_Alt_Unit_Par = Relevant parameter of non-Alternate Unit</w:t>
      </w:r>
    </w:p>
    <w:p w14:paraId="51DAF082" w14:textId="77777777" w:rsidR="00A7200E" w:rsidRPr="00F52DF3" w:rsidRDefault="00A7200E" w:rsidP="00A7200E">
      <w:pPr>
        <w:ind w:left="720" w:firstLine="720"/>
      </w:pPr>
      <w:r w:rsidRPr="00F52DF3">
        <w:t>Non_Alt_Unit_HSL = High Sustained Limit of non-Alternate Unit</w:t>
      </w:r>
    </w:p>
    <w:p w14:paraId="57498B95" w14:textId="77777777" w:rsidR="00A7200E" w:rsidRPr="00F52DF3" w:rsidRDefault="00A7200E" w:rsidP="00A7200E"/>
    <w:p w14:paraId="3B7CC399" w14:textId="77777777" w:rsidR="00A7200E" w:rsidRPr="00F52DF3" w:rsidRDefault="00A7200E" w:rsidP="00A7200E">
      <w:r w:rsidRPr="00F52DF3">
        <w:t xml:space="preserve">This calculation would be executed for all relevant parameters of the alternate and non-alternate units.  This would include for example Startup Cost data, Minimum-Energy Cost data and heat rate data. </w:t>
      </w:r>
    </w:p>
    <w:p w14:paraId="3C6890B6" w14:textId="77777777" w:rsidR="00A7200E" w:rsidRPr="00F52DF3" w:rsidRDefault="00A7200E" w:rsidP="00A7200E"/>
    <w:p w14:paraId="12845E93" w14:textId="77777777" w:rsidR="00A7200E" w:rsidRPr="00BA37A0" w:rsidRDefault="00A7200E" w:rsidP="00A7200E">
      <w:pPr>
        <w:keepNext/>
        <w:spacing w:before="240" w:after="240"/>
        <w:outlineLvl w:val="2"/>
        <w:rPr>
          <w:b/>
        </w:rPr>
      </w:pPr>
      <w:bookmarkStart w:id="32" w:name="_Toc136293659"/>
      <w:r w:rsidRPr="00F02810">
        <w:rPr>
          <w:b/>
          <w:bCs/>
          <w:lang w:eastAsia="x-none"/>
        </w:rPr>
        <w:t>Equation 4:  Equation for Calculation of Verifiable Startup Emission Costs</w:t>
      </w:r>
      <w:bookmarkEnd w:id="32"/>
    </w:p>
    <w:p w14:paraId="7B2CF9AD" w14:textId="77777777" w:rsidR="00A7200E" w:rsidRPr="00F52DF3" w:rsidRDefault="00A7200E" w:rsidP="00A7200E"/>
    <w:p w14:paraId="07735E9B" w14:textId="495644D7" w:rsidR="00A7200E" w:rsidRPr="00272C75" w:rsidRDefault="00A7200E" w:rsidP="00A7200E">
      <w:pPr>
        <w:rPr>
          <w:bCs/>
          <w:vertAlign w:val="subscript"/>
        </w:rPr>
      </w:pPr>
      <w:r w:rsidRPr="00F52DF3">
        <w:t>Verifiable Startup Emission Cost ($/Start) = RAFCRS * ∑Emission Rate i * Emission Cost Index i</w:t>
      </w:r>
      <w:ins w:id="33" w:author="Luminant" w:date="2024-06-28T10:12:00Z">
        <w:r w:rsidR="00272C75">
          <w:rPr>
            <w:vertAlign w:val="subscript"/>
          </w:rPr>
          <w:t>m</w:t>
        </w:r>
      </w:ins>
    </w:p>
    <w:p w14:paraId="7001246A" w14:textId="77777777" w:rsidR="00A7200E" w:rsidRPr="00F52DF3" w:rsidRDefault="00A7200E" w:rsidP="00A7200E">
      <w:pPr>
        <w:rPr>
          <w:bCs/>
        </w:rPr>
      </w:pPr>
    </w:p>
    <w:p w14:paraId="76DEFAFA" w14:textId="77777777" w:rsidR="00A7200E" w:rsidRPr="00F52DF3" w:rsidRDefault="00A7200E" w:rsidP="00A7200E">
      <w:pPr>
        <w:ind w:left="1350" w:hanging="1350"/>
      </w:pPr>
      <w:r w:rsidRPr="00F52DF3">
        <w:rPr>
          <w:bCs/>
        </w:rPr>
        <w:t>Where            RAFCRS</w:t>
      </w:r>
      <w:r w:rsidRPr="00F52DF3">
        <w:rPr>
          <w:b/>
          <w:bCs/>
        </w:rPr>
        <w:t xml:space="preserve"> = </w:t>
      </w:r>
      <w:r w:rsidRPr="00F52DF3">
        <w:t>Quantity of approved startup fuel consumed by Resource (including fuel used to shutdown Resource (MMBtu/Start)</w:t>
      </w:r>
    </w:p>
    <w:p w14:paraId="634F4E6A" w14:textId="7CC70D8F" w:rsidR="00A7200E" w:rsidRPr="00F52DF3" w:rsidRDefault="00A7200E" w:rsidP="00A7200E">
      <w:pPr>
        <w:ind w:left="1350" w:hanging="1350"/>
      </w:pPr>
      <w:r w:rsidRPr="00F52DF3">
        <w:tab/>
        <w:t xml:space="preserve">Emission Rate i = Quantity of emission </w:t>
      </w:r>
      <w:r w:rsidR="00945015">
        <w:t xml:space="preserve">i </w:t>
      </w:r>
      <w:r w:rsidRPr="00F52DF3">
        <w:t>emitted by resource (lbs/MMBtu)</w:t>
      </w:r>
    </w:p>
    <w:p w14:paraId="7480339D" w14:textId="3D700849" w:rsidR="00A7200E" w:rsidRPr="00F52DF3" w:rsidRDefault="368B0A77" w:rsidP="00A7200E">
      <w:pPr>
        <w:ind w:left="1350"/>
      </w:pPr>
      <w:r>
        <w:t>Emission Cost Index</w:t>
      </w:r>
      <w:r w:rsidRPr="69D33D46">
        <w:rPr>
          <w:b/>
          <w:bCs/>
        </w:rPr>
        <w:t xml:space="preserve"> </w:t>
      </w:r>
      <w:r>
        <w:t>i</w:t>
      </w:r>
      <w:ins w:id="34" w:author="Luminant" w:date="2024-06-28T10:14:00Z">
        <w:r w:rsidR="00272C75">
          <w:rPr>
            <w:vertAlign w:val="subscript"/>
          </w:rPr>
          <w:t>m</w:t>
        </w:r>
      </w:ins>
      <w:r>
        <w:t xml:space="preserve"> </w:t>
      </w:r>
      <w:r w:rsidRPr="69D33D46">
        <w:rPr>
          <w:b/>
          <w:bCs/>
        </w:rPr>
        <w:t>=</w:t>
      </w:r>
      <w:r>
        <w:t xml:space="preserve"> Published cost index of emission i</w:t>
      </w:r>
      <w:ins w:id="35" w:author="Luminant" w:date="2024-06-28T10:14:00Z">
        <w:r w:rsidR="00272C75">
          <w:rPr>
            <w:vertAlign w:val="subscript"/>
          </w:rPr>
          <w:t>m</w:t>
        </w:r>
      </w:ins>
      <w:ins w:id="36" w:author="Luminant" w:date="2024-06-26T11:15:00Z">
        <w:r w:rsidR="33312BEB">
          <w:t xml:space="preserve"> </w:t>
        </w:r>
      </w:ins>
      <w:r>
        <w:t xml:space="preserve">($/lb) </w:t>
      </w:r>
      <w:r w:rsidR="00272C75" w:rsidRPr="00F52DF3">
        <w:t xml:space="preserve"> </w:t>
      </w:r>
    </w:p>
    <w:p w14:paraId="7548F895" w14:textId="04BA2A48" w:rsidR="00A7200E" w:rsidRDefault="00272C75" w:rsidP="00A7200E">
      <w:pPr>
        <w:ind w:left="1350"/>
        <w:rPr>
          <w:ins w:id="37" w:author="Luminant" w:date="2024-06-28T10:14:00Z"/>
        </w:rPr>
      </w:pPr>
      <w:r w:rsidRPr="00F52DF3">
        <w:t>I</w:t>
      </w:r>
      <w:ins w:id="38" w:author="Luminant" w:date="2024-06-28T10:14:00Z">
        <w:r>
          <w:rPr>
            <w:vertAlign w:val="subscript"/>
          </w:rPr>
          <w:t>m</w:t>
        </w:r>
      </w:ins>
      <w:r w:rsidR="00A7200E" w:rsidRPr="00F52DF3">
        <w:t xml:space="preserve"> = Index for each emittent approved for inclusion in Startup Cost</w:t>
      </w:r>
      <w:r w:rsidR="00A7200E" w:rsidRPr="00F52DF3" w:rsidDel="00BB2230">
        <w:t xml:space="preserve"> </w:t>
      </w:r>
    </w:p>
    <w:p w14:paraId="48B6F3C9" w14:textId="7780A0E8" w:rsidR="00272C75" w:rsidRPr="00F52DF3" w:rsidRDefault="00272C75" w:rsidP="00A7200E">
      <w:pPr>
        <w:ind w:left="1350"/>
      </w:pPr>
      <w:ins w:id="39" w:author="Luminant" w:date="2024-06-28T10:14:00Z">
        <w:r>
          <w:lastRenderedPageBreak/>
          <w:t>m = Determinant for the use of seasonal prices for months of May throug</w:t>
        </w:r>
      </w:ins>
      <w:ins w:id="40" w:author="Luminant" w:date="2024-06-28T10:15:00Z">
        <w:r>
          <w:t>h September or annual index prices for October through April</w:t>
        </w:r>
      </w:ins>
    </w:p>
    <w:p w14:paraId="0B75515C" w14:textId="77777777" w:rsidR="00A7200E" w:rsidRPr="00F52DF3" w:rsidRDefault="00A7200E" w:rsidP="00A7200E">
      <w:pPr>
        <w:rPr>
          <w:b/>
        </w:rPr>
      </w:pPr>
    </w:p>
    <w:p w14:paraId="2EBEF92F" w14:textId="77777777" w:rsidR="00A7200E" w:rsidRPr="00BA37A0" w:rsidRDefault="00A7200E" w:rsidP="00A7200E">
      <w:pPr>
        <w:keepNext/>
        <w:spacing w:before="240" w:after="240"/>
        <w:outlineLvl w:val="2"/>
        <w:rPr>
          <w:b/>
        </w:rPr>
      </w:pPr>
      <w:bookmarkStart w:id="41" w:name="_Toc136293660"/>
      <w:r w:rsidRPr="00F02810">
        <w:rPr>
          <w:b/>
          <w:bCs/>
          <w:lang w:eastAsia="x-none"/>
        </w:rPr>
        <w:t>Equation 5:  Equation for Calculation of Verifiable Minimum-Energy Emission Costs</w:t>
      </w:r>
      <w:bookmarkEnd w:id="41"/>
    </w:p>
    <w:p w14:paraId="6F6A53D7" w14:textId="77777777" w:rsidR="00A7200E" w:rsidRPr="00F52DF3" w:rsidRDefault="00A7200E" w:rsidP="00A7200E">
      <w:r w:rsidRPr="00F52DF3">
        <w:t xml:space="preserve">Verifiable Minimum-Energy Emission Costs ($/MWh) = </w:t>
      </w:r>
    </w:p>
    <w:p w14:paraId="5D1F6227" w14:textId="0A984D25" w:rsidR="00A7200E" w:rsidRPr="00272C75" w:rsidRDefault="00A7200E" w:rsidP="00A7200E">
      <w:pPr>
        <w:rPr>
          <w:vertAlign w:val="subscript"/>
        </w:rPr>
      </w:pPr>
      <w:r w:rsidRPr="00F52DF3">
        <w:tab/>
        <w:t>[AHR] * ∑Emission Rate i * Emission Cost Index i</w:t>
      </w:r>
      <w:ins w:id="42" w:author="Luminant" w:date="2024-06-28T10:16:00Z">
        <w:r w:rsidR="00272C75">
          <w:rPr>
            <w:vertAlign w:val="subscript"/>
          </w:rPr>
          <w:t>m</w:t>
        </w:r>
      </w:ins>
    </w:p>
    <w:p w14:paraId="18056689" w14:textId="77777777" w:rsidR="00A7200E" w:rsidRPr="00F52DF3" w:rsidRDefault="00A7200E" w:rsidP="00A7200E"/>
    <w:p w14:paraId="223B4C9F" w14:textId="77777777" w:rsidR="00A7200E" w:rsidRPr="00F52DF3" w:rsidRDefault="00A7200E" w:rsidP="00A7200E">
      <w:r w:rsidRPr="00F52DF3">
        <w:t>Where</w:t>
      </w:r>
      <w:r w:rsidRPr="00F52DF3">
        <w:tab/>
      </w:r>
      <w:r w:rsidRPr="00F52DF3">
        <w:tab/>
        <w:t>AHR = Average heat rate at Minimum Energy (MMBtu/Hr)</w:t>
      </w:r>
    </w:p>
    <w:p w14:paraId="57F721BD" w14:textId="77777777" w:rsidR="00A7200E" w:rsidRPr="00F52DF3" w:rsidRDefault="00A7200E" w:rsidP="00A7200E">
      <w:r w:rsidRPr="00F52DF3">
        <w:tab/>
      </w:r>
      <w:r w:rsidRPr="00F52DF3">
        <w:tab/>
        <w:t>Emission Rate i = Quantity of emission i emitted by resource (lbs/MMBtu)</w:t>
      </w:r>
    </w:p>
    <w:p w14:paraId="3ED62F6B" w14:textId="7A3ADB98" w:rsidR="00A7200E" w:rsidRPr="00272C75" w:rsidRDefault="00A7200E" w:rsidP="00272C75">
      <w:pPr>
        <w:ind w:left="1350"/>
        <w:rPr>
          <w:vertAlign w:val="subscript"/>
        </w:rPr>
      </w:pPr>
      <w:r w:rsidRPr="00F52DF3">
        <w:tab/>
        <w:t>Emission Cost Index i</w:t>
      </w:r>
      <w:ins w:id="43" w:author="Luminant" w:date="2024-06-28T10:17:00Z">
        <w:r w:rsidR="00272C75">
          <w:rPr>
            <w:vertAlign w:val="subscript"/>
          </w:rPr>
          <w:t>m</w:t>
        </w:r>
      </w:ins>
      <w:r w:rsidRPr="00F52DF3">
        <w:t xml:space="preserve"> = Published cost index of emission i</w:t>
      </w:r>
      <w:ins w:id="44" w:author="Luminant" w:date="2024-06-28T10:17:00Z">
        <w:r w:rsidR="00272C75">
          <w:rPr>
            <w:vertAlign w:val="subscript"/>
          </w:rPr>
          <w:t>m</w:t>
        </w:r>
      </w:ins>
    </w:p>
    <w:p w14:paraId="39E5FAF5" w14:textId="5513F234" w:rsidR="00A7200E" w:rsidRDefault="00A7200E" w:rsidP="00A7200E">
      <w:pPr>
        <w:rPr>
          <w:ins w:id="45" w:author="Luminant" w:date="2024-06-28T10:15:00Z"/>
        </w:rPr>
      </w:pPr>
      <w:r w:rsidRPr="00F52DF3">
        <w:tab/>
      </w:r>
      <w:r w:rsidRPr="00F52DF3">
        <w:tab/>
      </w:r>
      <w:r w:rsidR="00272C75" w:rsidRPr="00F52DF3">
        <w:t>I</w:t>
      </w:r>
      <w:ins w:id="46" w:author="Luminant" w:date="2024-06-28T10:17:00Z">
        <w:r w:rsidR="00272C75">
          <w:rPr>
            <w:vertAlign w:val="subscript"/>
          </w:rPr>
          <w:t>m</w:t>
        </w:r>
      </w:ins>
      <w:r w:rsidRPr="00F52DF3">
        <w:t xml:space="preserve"> = Index of each emittent approved for inclusion in Minimum-Energy Cost</w:t>
      </w:r>
      <w:r w:rsidRPr="00F52DF3" w:rsidDel="00BB2230">
        <w:t xml:space="preserve"> </w:t>
      </w:r>
    </w:p>
    <w:p w14:paraId="328C2DBE" w14:textId="77777777" w:rsidR="00272C75" w:rsidRDefault="00272C75" w:rsidP="00272C75">
      <w:pPr>
        <w:ind w:left="1350"/>
        <w:rPr>
          <w:ins w:id="47" w:author="Luminant" w:date="2024-06-28T10:17:00Z"/>
        </w:rPr>
      </w:pPr>
      <w:ins w:id="48" w:author="Luminant" w:date="2024-06-28T10:17:00Z">
        <w:r>
          <w:t xml:space="preserve"> </w:t>
        </w:r>
      </w:ins>
      <w:ins w:id="49" w:author="Luminant" w:date="2024-06-28T10:15:00Z">
        <w:r>
          <w:t xml:space="preserve">m = Determinant for the use of seasonal prices for months of May through </w:t>
        </w:r>
      </w:ins>
      <w:ins w:id="50" w:author="Luminant" w:date="2024-06-28T10:17:00Z">
        <w:r>
          <w:t xml:space="preserve">  </w:t>
        </w:r>
      </w:ins>
    </w:p>
    <w:p w14:paraId="2DB0B20F" w14:textId="1FF88ABC" w:rsidR="00272C75" w:rsidRPr="00F52DF3" w:rsidRDefault="00272C75" w:rsidP="00272C75">
      <w:pPr>
        <w:ind w:left="1350"/>
        <w:rPr>
          <w:ins w:id="51" w:author="Luminant" w:date="2024-06-28T10:15:00Z"/>
        </w:rPr>
      </w:pPr>
      <w:ins w:id="52" w:author="Luminant" w:date="2024-06-28T10:17:00Z">
        <w:r>
          <w:t xml:space="preserve"> </w:t>
        </w:r>
      </w:ins>
      <w:ins w:id="53" w:author="Luminant" w:date="2024-06-28T10:15:00Z">
        <w:r>
          <w:t>September or annual index prices for October through April</w:t>
        </w:r>
      </w:ins>
    </w:p>
    <w:p w14:paraId="2B1A579E" w14:textId="77777777" w:rsidR="00272C75" w:rsidRPr="00F52DF3" w:rsidRDefault="00272C75" w:rsidP="00A7200E"/>
    <w:p w14:paraId="46D94FBC" w14:textId="77777777" w:rsidR="00A7200E" w:rsidRPr="00F52DF3" w:rsidRDefault="00A7200E" w:rsidP="00A7200E"/>
    <w:p w14:paraId="19D4CB1F" w14:textId="77777777" w:rsidR="00A7200E" w:rsidRPr="00F02810" w:rsidRDefault="00A7200E" w:rsidP="00A7200E">
      <w:pPr>
        <w:keepNext/>
        <w:spacing w:before="240" w:after="240"/>
        <w:outlineLvl w:val="2"/>
        <w:rPr>
          <w:b/>
          <w:bCs/>
          <w:lang w:eastAsia="x-none"/>
        </w:rPr>
      </w:pPr>
      <w:bookmarkStart w:id="54" w:name="_Toc136293661"/>
      <w:r w:rsidRPr="00F02810">
        <w:rPr>
          <w:b/>
          <w:bCs/>
          <w:lang w:eastAsia="x-none"/>
        </w:rPr>
        <w:t>Equation 6:  Verifiable Startup Costs (VERISU)  ($/Start)</w:t>
      </w:r>
      <w:bookmarkEnd w:id="54"/>
    </w:p>
    <w:p w14:paraId="1381265A" w14:textId="77777777" w:rsidR="00A7200E" w:rsidRPr="00F52DF3" w:rsidRDefault="00A7200E" w:rsidP="00A7200E">
      <w:pPr>
        <w:ind w:left="720"/>
      </w:pPr>
    </w:p>
    <w:p w14:paraId="5CA9061D" w14:textId="77777777" w:rsidR="00A7200E" w:rsidRPr="00F52DF3" w:rsidRDefault="00A7200E" w:rsidP="00A7200E">
      <w:pPr>
        <w:ind w:left="720" w:hanging="360"/>
      </w:pPr>
      <w:r w:rsidRPr="00F52DF3">
        <w:t>A)</w:t>
      </w:r>
      <w:r w:rsidRPr="00F52DF3">
        <w:tab/>
        <w:t xml:space="preserve">For RUC Settlements, the Verifiable Startup Costs are calculated as follows: </w:t>
      </w:r>
    </w:p>
    <w:p w14:paraId="5B5C61F2" w14:textId="77777777" w:rsidR="00A7200E" w:rsidRPr="00F52DF3" w:rsidRDefault="00A7200E" w:rsidP="00A7200E">
      <w:pPr>
        <w:rPr>
          <w:b/>
        </w:rPr>
      </w:pPr>
    </w:p>
    <w:p w14:paraId="022671D6" w14:textId="77777777" w:rsidR="00A7200E" w:rsidRPr="00F52DF3" w:rsidRDefault="00A7200E" w:rsidP="00A7200E">
      <w:pPr>
        <w:ind w:left="720"/>
      </w:pPr>
      <w:r w:rsidRPr="00F52DF3">
        <w:t>VERISU = AFCRS + VOMS</w:t>
      </w:r>
    </w:p>
    <w:p w14:paraId="17E9C7F5" w14:textId="77777777" w:rsidR="00A7200E" w:rsidRPr="00F52DF3" w:rsidRDefault="00A7200E" w:rsidP="00A7200E">
      <w:pPr>
        <w:rPr>
          <w:sz w:val="22"/>
          <w:szCs w:val="22"/>
        </w:rPr>
      </w:pPr>
      <w:r w:rsidRPr="00F52DF3">
        <w:rPr>
          <w:sz w:val="22"/>
          <w:szCs w:val="22"/>
        </w:rPr>
        <w:t xml:space="preserve"> </w:t>
      </w:r>
    </w:p>
    <w:p w14:paraId="7EA8B1BB" w14:textId="77777777" w:rsidR="00A7200E" w:rsidRPr="00F52DF3" w:rsidRDefault="00A7200E" w:rsidP="00A7200E">
      <w:pPr>
        <w:ind w:left="1440" w:hanging="1440"/>
      </w:pPr>
      <w:r w:rsidRPr="00F52DF3">
        <w:t>Where</w:t>
      </w:r>
      <w:r w:rsidRPr="00F52DF3">
        <w:tab/>
        <w:t>AFCRS = [Total Fuel - PHR * AVGEN + Total Fuel*VOX</w:t>
      </w:r>
      <w:r>
        <w:t>R</w:t>
      </w:r>
      <w:r w:rsidRPr="00F52DF3">
        <w:t>]</w:t>
      </w:r>
      <w:r w:rsidRPr="00F52DF3">
        <w:rPr>
          <w:vertAlign w:val="subscript"/>
        </w:rPr>
        <w:t xml:space="preserve"> * </w:t>
      </w:r>
      <w:r w:rsidRPr="00F52DF3">
        <w:t>[FIP*GASPERSU(%) + FOP*OILPERSU(%) + SFP*SFPERSU(%)]</w:t>
      </w:r>
    </w:p>
    <w:p w14:paraId="28B75ED4" w14:textId="77777777" w:rsidR="00A7200E" w:rsidRPr="00F52DF3" w:rsidRDefault="00A7200E" w:rsidP="00A7200E">
      <w:pPr>
        <w:ind w:left="720" w:firstLine="720"/>
      </w:pPr>
    </w:p>
    <w:p w14:paraId="1DBDA34A" w14:textId="77777777" w:rsidR="00A7200E" w:rsidRPr="00F52DF3" w:rsidRDefault="00A7200E" w:rsidP="00A7200E">
      <w:pPr>
        <w:ind w:left="720" w:firstLine="720"/>
      </w:pPr>
      <w:r w:rsidRPr="00F52DF3">
        <w:t>Total Fuel = [Fuel</w:t>
      </w:r>
      <w:r w:rsidRPr="00F52DF3">
        <w:rPr>
          <w:vertAlign w:val="subscript"/>
        </w:rPr>
        <w:t xml:space="preserve">Startup-BC </w:t>
      </w:r>
      <w:r w:rsidRPr="00F52DF3">
        <w:t>+ Fuel</w:t>
      </w:r>
      <w:r w:rsidRPr="00F52DF3">
        <w:rPr>
          <w:vertAlign w:val="subscript"/>
        </w:rPr>
        <w:t xml:space="preserve">BC-LSL </w:t>
      </w:r>
      <w:r w:rsidRPr="00F52DF3">
        <w:t>+ Fuel</w:t>
      </w:r>
      <w:r w:rsidRPr="00F52DF3">
        <w:rPr>
          <w:vertAlign w:val="subscript"/>
        </w:rPr>
        <w:t>BO-Shutdown</w:t>
      </w:r>
      <w:r w:rsidRPr="00F52DF3">
        <w:t>]</w:t>
      </w:r>
    </w:p>
    <w:p w14:paraId="0F2E112C" w14:textId="77777777" w:rsidR="00A7200E" w:rsidRPr="00F52DF3" w:rsidRDefault="00A7200E" w:rsidP="00A7200E">
      <w:pPr>
        <w:ind w:left="720" w:firstLine="720"/>
      </w:pPr>
    </w:p>
    <w:p w14:paraId="75557CCE" w14:textId="77777777" w:rsidR="00A7200E" w:rsidRPr="00F52DF3" w:rsidRDefault="00A7200E" w:rsidP="00A7200E">
      <w:pPr>
        <w:ind w:left="720" w:firstLine="720"/>
      </w:pPr>
      <w:r w:rsidRPr="00F52DF3">
        <w:t>VOMS = IO&amp;M</w:t>
      </w:r>
      <w:r w:rsidRPr="00F52DF3">
        <w:rPr>
          <w:vertAlign w:val="subscript"/>
        </w:rPr>
        <w:t xml:space="preserve">Start-LSL </w:t>
      </w:r>
      <w:r w:rsidRPr="00F52DF3">
        <w:t>+IO&amp;M</w:t>
      </w:r>
      <w:r w:rsidRPr="00F52DF3">
        <w:rPr>
          <w:vertAlign w:val="subscript"/>
        </w:rPr>
        <w:t xml:space="preserve">BO-Shutdown </w:t>
      </w:r>
      <w:r w:rsidRPr="00F52DF3">
        <w:t xml:space="preserve">+ Verifiable Startup Emission Costs </w:t>
      </w:r>
    </w:p>
    <w:p w14:paraId="6BA1D109" w14:textId="77777777" w:rsidR="00A7200E" w:rsidRPr="00F52DF3" w:rsidRDefault="00A7200E" w:rsidP="00A7200E">
      <w:pPr>
        <w:ind w:left="720" w:firstLine="720"/>
      </w:pPr>
    </w:p>
    <w:p w14:paraId="39DD3D2E" w14:textId="77777777" w:rsidR="00A7200E" w:rsidRPr="00F52DF3" w:rsidRDefault="00A7200E" w:rsidP="00A7200E">
      <w:pPr>
        <w:ind w:left="720" w:hanging="360"/>
      </w:pPr>
      <w:r w:rsidRPr="00F52DF3">
        <w:t>B)</w:t>
      </w:r>
      <w:r w:rsidRPr="00F52DF3">
        <w:tab/>
        <w:t xml:space="preserve">For DAM Make-Whole Payments, the Verifiable Startup Costs are calculated as follows: </w:t>
      </w:r>
    </w:p>
    <w:p w14:paraId="7780F1BD" w14:textId="77777777" w:rsidR="00A7200E" w:rsidRPr="00F52DF3" w:rsidRDefault="00A7200E" w:rsidP="00A7200E">
      <w:pPr>
        <w:ind w:left="720"/>
      </w:pPr>
    </w:p>
    <w:p w14:paraId="28C6CC4F" w14:textId="77777777" w:rsidR="00A7200E" w:rsidRPr="00F52DF3" w:rsidRDefault="00A7200E" w:rsidP="00A7200E">
      <w:pPr>
        <w:ind w:left="720"/>
      </w:pPr>
      <w:r w:rsidRPr="00F52DF3">
        <w:t>VERISU = DAFCRS + VOMS</w:t>
      </w:r>
    </w:p>
    <w:p w14:paraId="6D98B4DC" w14:textId="77777777" w:rsidR="00A7200E" w:rsidRPr="00F52DF3" w:rsidRDefault="00A7200E" w:rsidP="00A7200E">
      <w:pPr>
        <w:ind w:left="720"/>
        <w:rPr>
          <w:sz w:val="22"/>
          <w:szCs w:val="22"/>
        </w:rPr>
      </w:pPr>
    </w:p>
    <w:p w14:paraId="165F44AD" w14:textId="77777777" w:rsidR="00A7200E" w:rsidRPr="00F52DF3" w:rsidRDefault="00A7200E" w:rsidP="00A7200E">
      <w:pPr>
        <w:ind w:left="1440" w:hanging="1440"/>
      </w:pPr>
      <w:r w:rsidRPr="00F52DF3">
        <w:t>Where</w:t>
      </w:r>
      <w:r w:rsidRPr="00F52DF3">
        <w:tab/>
        <w:t>DAFCRS = [Total Fuel + Total Fuel*VOX</w:t>
      </w:r>
      <w:r>
        <w:t>R</w:t>
      </w:r>
      <w:r w:rsidRPr="00F52DF3">
        <w:t>]</w:t>
      </w:r>
      <w:r w:rsidRPr="00F52DF3">
        <w:rPr>
          <w:vertAlign w:val="subscript"/>
        </w:rPr>
        <w:t xml:space="preserve"> * </w:t>
      </w:r>
      <w:r w:rsidRPr="00F52DF3">
        <w:t>[FIP*GASPERSU(%) + FOP*OILPERSU(%) + SFP*SFPERSU(%)]</w:t>
      </w:r>
    </w:p>
    <w:p w14:paraId="5FDA51ED" w14:textId="77777777" w:rsidR="00A7200E" w:rsidRPr="00F52DF3" w:rsidRDefault="00A7200E" w:rsidP="00A7200E">
      <w:pPr>
        <w:ind w:left="720"/>
      </w:pPr>
    </w:p>
    <w:p w14:paraId="5585C9F6" w14:textId="77777777" w:rsidR="00A7200E" w:rsidRPr="00F52DF3" w:rsidRDefault="00A7200E" w:rsidP="00A7200E">
      <w:pPr>
        <w:ind w:left="720" w:firstLine="720"/>
      </w:pPr>
      <w:r w:rsidRPr="00F52DF3">
        <w:t>Total Fuel = [Fuel</w:t>
      </w:r>
      <w:r w:rsidRPr="00F52DF3">
        <w:rPr>
          <w:vertAlign w:val="subscript"/>
        </w:rPr>
        <w:t xml:space="preserve">Startup-BC </w:t>
      </w:r>
      <w:r w:rsidRPr="00F52DF3">
        <w:t>+ Fuel</w:t>
      </w:r>
      <w:r w:rsidRPr="00F52DF3">
        <w:rPr>
          <w:vertAlign w:val="subscript"/>
        </w:rPr>
        <w:t xml:space="preserve">BC-LSL </w:t>
      </w:r>
      <w:r w:rsidRPr="00F52DF3">
        <w:t>+ Fuel</w:t>
      </w:r>
      <w:r w:rsidRPr="00F52DF3">
        <w:rPr>
          <w:vertAlign w:val="subscript"/>
        </w:rPr>
        <w:t>BO-Shutdown</w:t>
      </w:r>
      <w:r w:rsidRPr="00F52DF3">
        <w:t>]</w:t>
      </w:r>
    </w:p>
    <w:p w14:paraId="08A1CC8B" w14:textId="77777777" w:rsidR="00A7200E" w:rsidRPr="00F52DF3" w:rsidRDefault="00A7200E" w:rsidP="00A7200E">
      <w:pPr>
        <w:ind w:left="720"/>
      </w:pPr>
    </w:p>
    <w:p w14:paraId="4230B2BC" w14:textId="77777777" w:rsidR="00A7200E" w:rsidRPr="00F52DF3" w:rsidRDefault="00A7200E" w:rsidP="00A7200E">
      <w:pPr>
        <w:ind w:left="720" w:firstLine="720"/>
      </w:pPr>
      <w:r w:rsidRPr="00F52DF3">
        <w:t>VOMS = IO&amp;M</w:t>
      </w:r>
      <w:r w:rsidRPr="00F52DF3">
        <w:rPr>
          <w:vertAlign w:val="subscript"/>
        </w:rPr>
        <w:t xml:space="preserve">Start-LSL </w:t>
      </w:r>
      <w:r w:rsidRPr="00F52DF3">
        <w:t>+IO&amp;M</w:t>
      </w:r>
      <w:r w:rsidRPr="00F52DF3">
        <w:rPr>
          <w:vertAlign w:val="subscript"/>
        </w:rPr>
        <w:t xml:space="preserve">BO-Shutdown </w:t>
      </w:r>
      <w:r w:rsidRPr="00F52DF3">
        <w:t>+ Verifiable Startup Emission Costs</w:t>
      </w:r>
    </w:p>
    <w:p w14:paraId="61459FA6" w14:textId="77777777" w:rsidR="00A7200E" w:rsidRPr="00F52DF3" w:rsidRDefault="00A7200E" w:rsidP="00A7200E"/>
    <w:p w14:paraId="470A9CD7" w14:textId="77777777" w:rsidR="00A7200E" w:rsidRPr="00F52DF3" w:rsidRDefault="00A7200E" w:rsidP="00A7200E">
      <w:r w:rsidRPr="00F52DF3">
        <w:t>The bill determinants utilized above are defined as:</w:t>
      </w:r>
    </w:p>
    <w:p w14:paraId="7D2FAF68" w14:textId="77777777" w:rsidR="00A7200E" w:rsidRPr="00F52DF3" w:rsidRDefault="00A7200E" w:rsidP="00A7200E">
      <w:pPr>
        <w:ind w:left="1440"/>
      </w:pPr>
      <w:r w:rsidRPr="00F52DF3">
        <w:t>VERISU = Verifiable Startup Costs ($/Start)</w:t>
      </w:r>
    </w:p>
    <w:p w14:paraId="296917AD" w14:textId="77777777" w:rsidR="00A7200E" w:rsidRPr="00F52DF3" w:rsidRDefault="00A7200E" w:rsidP="00A7200E">
      <w:pPr>
        <w:ind w:left="1440"/>
      </w:pPr>
      <w:r w:rsidRPr="00F52DF3">
        <w:t>AFCRS = Verifiable Startup Fuel Costs adjusted by VOX</w:t>
      </w:r>
      <w:r>
        <w:t>R</w:t>
      </w:r>
      <w:r w:rsidRPr="00F52DF3">
        <w:t xml:space="preserve"> and PHR ($/Start)</w:t>
      </w:r>
    </w:p>
    <w:p w14:paraId="3FBE1B18" w14:textId="77777777" w:rsidR="00A7200E" w:rsidRPr="00F52DF3" w:rsidRDefault="00A7200E" w:rsidP="00A7200E">
      <w:pPr>
        <w:ind w:left="1440"/>
      </w:pPr>
      <w:r w:rsidRPr="00F52DF3">
        <w:lastRenderedPageBreak/>
        <w:t>DAFCRS = the adjusted verified fuel consumption rate for the start type (MMBtu/Start)</w:t>
      </w:r>
    </w:p>
    <w:p w14:paraId="7B2239FD" w14:textId="77777777" w:rsidR="00A7200E" w:rsidRPr="00F52DF3" w:rsidRDefault="00A7200E" w:rsidP="00A7200E">
      <w:pPr>
        <w:ind w:left="1440"/>
      </w:pPr>
      <w:r w:rsidRPr="00F52DF3">
        <w:t>VOMS = Verifiable Operations and Maintenance Costs ($/Start)</w:t>
      </w:r>
    </w:p>
    <w:p w14:paraId="6B1789AE" w14:textId="77777777" w:rsidR="00A7200E" w:rsidRPr="00F52DF3" w:rsidRDefault="00A7200E" w:rsidP="00A7200E">
      <w:pPr>
        <w:ind w:left="1440"/>
      </w:pPr>
      <w:r w:rsidRPr="00F52DF3">
        <w:t>Fuel</w:t>
      </w:r>
      <w:r w:rsidRPr="00F52DF3">
        <w:rPr>
          <w:vertAlign w:val="subscript"/>
        </w:rPr>
        <w:t xml:space="preserve">Startup-BC </w:t>
      </w:r>
      <w:r w:rsidRPr="00F52DF3">
        <w:t>= Fuel Quantity required to bring Resource from Startup to Breaker Close (MMBtu)</w:t>
      </w:r>
    </w:p>
    <w:p w14:paraId="0109D246" w14:textId="77777777" w:rsidR="00A7200E" w:rsidRPr="00F52DF3" w:rsidRDefault="00A7200E" w:rsidP="00A7200E">
      <w:pPr>
        <w:ind w:left="1440"/>
      </w:pPr>
      <w:r w:rsidRPr="00F52DF3">
        <w:t>Fuel</w:t>
      </w:r>
      <w:r w:rsidRPr="00F52DF3">
        <w:rPr>
          <w:vertAlign w:val="subscript"/>
        </w:rPr>
        <w:t xml:space="preserve">BC-LSL </w:t>
      </w:r>
      <w:r w:rsidRPr="00F52DF3">
        <w:t>= Fuel Quantity required to bring Resource from Breaker Close to Minimum Energy at LSL (MMBtu)</w:t>
      </w:r>
    </w:p>
    <w:p w14:paraId="70D476DB" w14:textId="77777777" w:rsidR="00A7200E" w:rsidRPr="00F52DF3" w:rsidRDefault="00A7200E" w:rsidP="00A7200E">
      <w:pPr>
        <w:ind w:left="1440"/>
      </w:pPr>
      <w:r w:rsidRPr="00F52DF3">
        <w:t>Fuel</w:t>
      </w:r>
      <w:r w:rsidRPr="00F52DF3">
        <w:rPr>
          <w:vertAlign w:val="subscript"/>
        </w:rPr>
        <w:t xml:space="preserve">BO-Shutdown </w:t>
      </w:r>
      <w:r w:rsidRPr="00F52DF3">
        <w:t>= Fuel Quantity required to take Resource from Breaker Open to Shutdown (MMBtu)</w:t>
      </w:r>
    </w:p>
    <w:p w14:paraId="21E0AEF1" w14:textId="77777777" w:rsidR="00A7200E" w:rsidRPr="00F52DF3" w:rsidRDefault="00A7200E" w:rsidP="00A7200E">
      <w:pPr>
        <w:ind w:left="1440"/>
      </w:pPr>
      <w:r w:rsidRPr="00F52DF3">
        <w:t>PHR = Proxy Heat Rate (MMBtu/MWh)</w:t>
      </w:r>
    </w:p>
    <w:p w14:paraId="43A40A79" w14:textId="77777777" w:rsidR="00A7200E" w:rsidRPr="00F52DF3" w:rsidRDefault="00A7200E" w:rsidP="00A7200E">
      <w:pPr>
        <w:ind w:left="1440"/>
      </w:pPr>
      <w:r w:rsidRPr="00F52DF3">
        <w:t xml:space="preserve">AVGEN = Average Generation between Breaker Close and LSL (MWh) </w:t>
      </w:r>
    </w:p>
    <w:p w14:paraId="0732A345" w14:textId="77777777" w:rsidR="00A7200E" w:rsidRPr="00F52DF3" w:rsidRDefault="00A7200E" w:rsidP="00A7200E">
      <w:pPr>
        <w:ind w:left="1440"/>
      </w:pPr>
      <w:r w:rsidRPr="00F52DF3">
        <w:t>VOX</w:t>
      </w:r>
      <w:r>
        <w:t>R</w:t>
      </w:r>
      <w:r w:rsidRPr="00F52DF3">
        <w:t xml:space="preserve"> = Value of X</w:t>
      </w:r>
      <w:r>
        <w:t xml:space="preserve"> for the Resource</w:t>
      </w:r>
    </w:p>
    <w:p w14:paraId="3CAE4357" w14:textId="77777777" w:rsidR="00A7200E" w:rsidRPr="00F52DF3" w:rsidRDefault="00A7200E" w:rsidP="00A7200E">
      <w:pPr>
        <w:ind w:left="1440"/>
      </w:pPr>
      <w:r w:rsidRPr="00F52DF3">
        <w:t>FIP = Fuel Price Index for gas ($/MMBtu)</w:t>
      </w:r>
    </w:p>
    <w:p w14:paraId="045A4011" w14:textId="77777777" w:rsidR="00A7200E" w:rsidRPr="00F52DF3" w:rsidRDefault="00A7200E" w:rsidP="00A7200E">
      <w:pPr>
        <w:ind w:left="1440"/>
      </w:pPr>
      <w:r w:rsidRPr="00F52DF3">
        <w:t>FOP = Fuel Price Index for oil ($/MMBtu)</w:t>
      </w:r>
    </w:p>
    <w:p w14:paraId="15588F64" w14:textId="77777777" w:rsidR="00A7200E" w:rsidRPr="00F52DF3" w:rsidRDefault="00A7200E" w:rsidP="00A7200E">
      <w:pPr>
        <w:ind w:left="1440"/>
      </w:pPr>
      <w:r w:rsidRPr="00F52DF3">
        <w:t>SFP = Fuel Price Index for solid fuel = $1.50/MMBtu</w:t>
      </w:r>
    </w:p>
    <w:p w14:paraId="0181A02F" w14:textId="77777777" w:rsidR="00A7200E" w:rsidRPr="00F52DF3" w:rsidRDefault="00A7200E" w:rsidP="00A7200E">
      <w:pPr>
        <w:ind w:left="1440"/>
      </w:pPr>
      <w:r w:rsidRPr="00F52DF3">
        <w:t>GASPERSU = Percent of gas used during startup</w:t>
      </w:r>
    </w:p>
    <w:p w14:paraId="64EAEF08" w14:textId="77777777" w:rsidR="00A7200E" w:rsidRPr="00F52DF3" w:rsidRDefault="00A7200E" w:rsidP="00A7200E">
      <w:pPr>
        <w:ind w:left="1440"/>
      </w:pPr>
      <w:r w:rsidRPr="00F52DF3">
        <w:t>OILPERSU = Percent of oil used during startup</w:t>
      </w:r>
    </w:p>
    <w:p w14:paraId="23E0FC72" w14:textId="77777777" w:rsidR="00A7200E" w:rsidRPr="00F52DF3" w:rsidRDefault="00A7200E" w:rsidP="00A7200E">
      <w:pPr>
        <w:ind w:left="1440"/>
      </w:pPr>
      <w:r w:rsidRPr="00F52DF3">
        <w:t>SFPERSU = Percent of solid fuel used during startup</w:t>
      </w:r>
    </w:p>
    <w:p w14:paraId="09416DFF" w14:textId="77777777" w:rsidR="00A7200E" w:rsidRPr="00F52DF3" w:rsidRDefault="00A7200E" w:rsidP="00A7200E">
      <w:pPr>
        <w:ind w:left="1440"/>
      </w:pPr>
      <w:r w:rsidRPr="00F52DF3">
        <w:t>IO&amp;M</w:t>
      </w:r>
      <w:r w:rsidRPr="00F52DF3">
        <w:rPr>
          <w:vertAlign w:val="subscript"/>
        </w:rPr>
        <w:t xml:space="preserve">Start-LSL </w:t>
      </w:r>
      <w:r w:rsidRPr="00F52DF3">
        <w:t>= Incremental O&amp;M costs incurred to bring Resource from Start to LSL ($/Start)</w:t>
      </w:r>
    </w:p>
    <w:p w14:paraId="2E25752D" w14:textId="77777777" w:rsidR="00A7200E" w:rsidRPr="00F52DF3" w:rsidRDefault="00A7200E" w:rsidP="00A7200E">
      <w:pPr>
        <w:ind w:left="1440"/>
      </w:pPr>
      <w:r w:rsidRPr="00F52DF3">
        <w:t>IO&amp;M</w:t>
      </w:r>
      <w:r w:rsidRPr="00F52DF3">
        <w:rPr>
          <w:vertAlign w:val="subscript"/>
        </w:rPr>
        <w:t xml:space="preserve">BO-Shutdown </w:t>
      </w:r>
      <w:r w:rsidRPr="00F52DF3">
        <w:t>= Incremental O&amp;M costs incurred to take Resource from Breaker Open to Shutdown ($/Start)</w:t>
      </w:r>
    </w:p>
    <w:p w14:paraId="6E0D1942" w14:textId="77777777" w:rsidR="00A7200E" w:rsidRPr="00F52DF3" w:rsidRDefault="00A7200E" w:rsidP="00A7200E">
      <w:pPr>
        <w:ind w:left="1440"/>
      </w:pPr>
      <w:r w:rsidRPr="00F52DF3">
        <w:t>Verifiable Startup Emission Costs = The allowable costs of acquiring emission credits required to start up Resource and defined in Equation 4 above.</w:t>
      </w:r>
    </w:p>
    <w:p w14:paraId="078EF7FC" w14:textId="77777777" w:rsidR="00A7200E" w:rsidRPr="00F52DF3" w:rsidRDefault="00A7200E" w:rsidP="00A7200E">
      <w:pPr>
        <w:rPr>
          <w:b/>
        </w:rPr>
      </w:pPr>
    </w:p>
    <w:p w14:paraId="12CC2D88" w14:textId="77777777" w:rsidR="00A7200E" w:rsidRPr="00F02810" w:rsidRDefault="00A7200E" w:rsidP="00A7200E">
      <w:pPr>
        <w:keepNext/>
        <w:spacing w:before="240" w:after="240"/>
        <w:outlineLvl w:val="2"/>
        <w:rPr>
          <w:b/>
          <w:bCs/>
          <w:lang w:eastAsia="x-none"/>
        </w:rPr>
      </w:pPr>
      <w:bookmarkStart w:id="55" w:name="_Toc136293662"/>
      <w:r w:rsidRPr="00F02810">
        <w:rPr>
          <w:b/>
          <w:bCs/>
          <w:lang w:eastAsia="x-none"/>
        </w:rPr>
        <w:t>Equation 7:  The Equation for calculating Verifiable Minimum Energy Costs ($/MWh)</w:t>
      </w:r>
      <w:bookmarkEnd w:id="55"/>
    </w:p>
    <w:p w14:paraId="3DFB699D" w14:textId="77777777" w:rsidR="00A7200E" w:rsidRPr="00F52DF3" w:rsidRDefault="00A7200E" w:rsidP="00A7200E">
      <w:pPr>
        <w:rPr>
          <w:b/>
        </w:rPr>
      </w:pPr>
    </w:p>
    <w:p w14:paraId="710F7024" w14:textId="77777777" w:rsidR="00A7200E" w:rsidRPr="00F52DF3" w:rsidRDefault="00A7200E" w:rsidP="00A7200E">
      <w:pPr>
        <w:rPr>
          <w:sz w:val="22"/>
          <w:szCs w:val="22"/>
        </w:rPr>
      </w:pPr>
      <w:r w:rsidRPr="00F52DF3">
        <w:rPr>
          <w:sz w:val="22"/>
          <w:szCs w:val="22"/>
        </w:rPr>
        <w:t>VERIME = FCLSL + VOMLSL</w:t>
      </w:r>
    </w:p>
    <w:p w14:paraId="784E198C" w14:textId="77777777" w:rsidR="00A7200E" w:rsidRPr="00F52DF3" w:rsidRDefault="00A7200E" w:rsidP="00A7200E"/>
    <w:p w14:paraId="67371574" w14:textId="77777777" w:rsidR="00A7200E" w:rsidRPr="00F52DF3" w:rsidRDefault="00A7200E" w:rsidP="00A7200E">
      <w:r w:rsidRPr="00F52DF3">
        <w:t xml:space="preserve">Where </w:t>
      </w:r>
      <w:r w:rsidRPr="00F52DF3">
        <w:tab/>
      </w:r>
      <w:r w:rsidRPr="00F52DF3">
        <w:tab/>
        <w:t>VERIME = Verifiable Minimum Energy Costs</w:t>
      </w:r>
    </w:p>
    <w:p w14:paraId="473EFE3F" w14:textId="77777777" w:rsidR="00A7200E" w:rsidRPr="00F52DF3" w:rsidRDefault="00A7200E" w:rsidP="00A7200E">
      <w:r w:rsidRPr="00F52DF3">
        <w:tab/>
      </w:r>
      <w:r w:rsidRPr="00F52DF3">
        <w:tab/>
        <w:t>FCLSL = Verifiable Fuel Costs at Minimum Energy</w:t>
      </w:r>
    </w:p>
    <w:p w14:paraId="56ACA16F" w14:textId="77777777" w:rsidR="00A7200E" w:rsidRPr="00F52DF3" w:rsidRDefault="00A7200E" w:rsidP="00A7200E">
      <w:r w:rsidRPr="00F52DF3">
        <w:tab/>
      </w:r>
      <w:r w:rsidRPr="00F52DF3">
        <w:tab/>
        <w:t>VOMLSL = Verifiable variable O&amp;M costs at Minimum Energy</w:t>
      </w:r>
    </w:p>
    <w:p w14:paraId="37BA0467" w14:textId="77777777" w:rsidR="00A7200E" w:rsidRPr="00F52DF3" w:rsidRDefault="00A7200E" w:rsidP="00A7200E"/>
    <w:p w14:paraId="7647BE87" w14:textId="77777777" w:rsidR="00A7200E" w:rsidRPr="00F52DF3" w:rsidRDefault="00A7200E" w:rsidP="00A7200E">
      <w:r w:rsidRPr="00F52DF3">
        <w:t>FCLSL = [(AHR)] * [FIP*GASPERME(%) + FOP*OILPERME(%) + SFP*SFPERME(%)]</w:t>
      </w:r>
    </w:p>
    <w:p w14:paraId="39653C73" w14:textId="77777777" w:rsidR="00A7200E" w:rsidRPr="00F52DF3" w:rsidRDefault="00A7200E" w:rsidP="00A7200E"/>
    <w:p w14:paraId="7BCCE7E8" w14:textId="77777777" w:rsidR="00A7200E" w:rsidRPr="00F52DF3" w:rsidRDefault="00A7200E" w:rsidP="00A7200E">
      <w:pPr>
        <w:tabs>
          <w:tab w:val="left" w:pos="720"/>
        </w:tabs>
        <w:ind w:left="1440" w:hanging="1440"/>
      </w:pPr>
      <w:r w:rsidRPr="00F52DF3">
        <w:t>Where</w:t>
      </w:r>
      <w:r w:rsidRPr="00F52DF3">
        <w:tab/>
      </w:r>
      <w:r w:rsidRPr="00F52DF3">
        <w:tab/>
        <w:t>AHR = Adjusted average heat rate at Minimum Energy (MMBtu/Hr)</w:t>
      </w:r>
    </w:p>
    <w:p w14:paraId="7EE9B134" w14:textId="77777777" w:rsidR="00A7200E" w:rsidRPr="00F52DF3" w:rsidRDefault="00A7200E" w:rsidP="00A7200E">
      <w:r w:rsidRPr="00F52DF3">
        <w:tab/>
      </w:r>
      <w:r w:rsidRPr="00F52DF3">
        <w:tab/>
        <w:t>FIP = Fuel Price Index for gas ($/MMBtu)</w:t>
      </w:r>
    </w:p>
    <w:p w14:paraId="664016E4" w14:textId="77777777" w:rsidR="00A7200E" w:rsidRPr="00F52DF3" w:rsidRDefault="00A7200E" w:rsidP="00A7200E">
      <w:r w:rsidRPr="00F52DF3">
        <w:tab/>
      </w:r>
      <w:r w:rsidRPr="00F52DF3">
        <w:tab/>
        <w:t>FOP = Fuel Price Index for oil ($/MMBtu)</w:t>
      </w:r>
    </w:p>
    <w:p w14:paraId="43BB2489" w14:textId="77777777" w:rsidR="00A7200E" w:rsidRPr="00F52DF3" w:rsidRDefault="00A7200E" w:rsidP="00A7200E">
      <w:r w:rsidRPr="00F52DF3">
        <w:tab/>
      </w:r>
      <w:r w:rsidRPr="00F52DF3">
        <w:tab/>
        <w:t>SFP = Fuel Price Index for solid fuel = $1.50/MMBtu</w:t>
      </w:r>
    </w:p>
    <w:p w14:paraId="7D757156" w14:textId="77777777" w:rsidR="00A7200E" w:rsidRPr="00F52DF3" w:rsidRDefault="00A7200E" w:rsidP="00A7200E">
      <w:r w:rsidRPr="00F52DF3">
        <w:tab/>
      </w:r>
      <w:r w:rsidRPr="00F52DF3">
        <w:tab/>
        <w:t>GASPERME = Percent of gas used at minimum energy</w:t>
      </w:r>
    </w:p>
    <w:p w14:paraId="1D89DAB8" w14:textId="77777777" w:rsidR="00A7200E" w:rsidRPr="00F52DF3" w:rsidRDefault="00A7200E" w:rsidP="00A7200E">
      <w:r w:rsidRPr="00F52DF3">
        <w:tab/>
      </w:r>
      <w:r w:rsidRPr="00F52DF3">
        <w:tab/>
        <w:t>OILPERME = Percent of oil used at minimum energy</w:t>
      </w:r>
    </w:p>
    <w:p w14:paraId="4C987CAA" w14:textId="77777777" w:rsidR="00A7200E" w:rsidRPr="00F52DF3" w:rsidRDefault="00A7200E" w:rsidP="00A7200E">
      <w:r w:rsidRPr="00F52DF3">
        <w:tab/>
      </w:r>
      <w:r w:rsidRPr="00F52DF3">
        <w:tab/>
        <w:t>SFPERME = Percent of solid fuel used at minimum energy</w:t>
      </w:r>
    </w:p>
    <w:p w14:paraId="10F36BF7" w14:textId="77777777" w:rsidR="00A7200E" w:rsidRPr="00F52DF3" w:rsidRDefault="00A7200E" w:rsidP="00A7200E"/>
    <w:p w14:paraId="65818CEA" w14:textId="77777777" w:rsidR="00A7200E" w:rsidRPr="00F52DF3" w:rsidRDefault="00A7200E" w:rsidP="00A7200E">
      <w:r w:rsidRPr="00F52DF3">
        <w:t>VOMLSL = IO&amp;M</w:t>
      </w:r>
      <w:r w:rsidRPr="00F52DF3">
        <w:rPr>
          <w:vertAlign w:val="subscript"/>
        </w:rPr>
        <w:t xml:space="preserve">LSL </w:t>
      </w:r>
      <w:r w:rsidRPr="00F52DF3">
        <w:t xml:space="preserve">+ Verifiable Emission Costs at Minimum Energy </w:t>
      </w:r>
    </w:p>
    <w:p w14:paraId="3607D0F7" w14:textId="77777777" w:rsidR="00A7200E" w:rsidRPr="00F52DF3" w:rsidRDefault="00A7200E" w:rsidP="00A7200E">
      <w:r w:rsidRPr="00F52DF3">
        <w:t>Where</w:t>
      </w:r>
      <w:r w:rsidRPr="00F52DF3">
        <w:tab/>
      </w:r>
      <w:r w:rsidRPr="00F52DF3">
        <w:tab/>
        <w:t>IO&amp;M</w:t>
      </w:r>
      <w:r w:rsidRPr="00F52DF3">
        <w:rPr>
          <w:vertAlign w:val="subscript"/>
        </w:rPr>
        <w:t xml:space="preserve">LSL </w:t>
      </w:r>
      <w:r w:rsidRPr="00F52DF3">
        <w:t>= Incremental O&amp;M costs at minimum energy</w:t>
      </w:r>
    </w:p>
    <w:p w14:paraId="64E8530B" w14:textId="77777777" w:rsidR="00A7200E" w:rsidRPr="00F52DF3" w:rsidRDefault="00A7200E" w:rsidP="00A7200E">
      <w:pPr>
        <w:ind w:left="1440"/>
      </w:pPr>
      <w:r w:rsidRPr="00F52DF3">
        <w:lastRenderedPageBreak/>
        <w:t>Verifiable Emission Costs at Minimum Energy = The allowable costs of acquiring emission credits required to operate Resource at minimum energy and defined in Equation 5 above.</w:t>
      </w:r>
    </w:p>
    <w:p w14:paraId="48CD451A" w14:textId="5A4656BB" w:rsidR="00A7200E" w:rsidRPr="00A7200E" w:rsidRDefault="00A7200E" w:rsidP="00A7200E">
      <w:pPr>
        <w:rPr>
          <w:rFonts w:ascii="Arial" w:hAnsi="Arial" w:cs="Arial"/>
          <w:bCs/>
          <w:iCs/>
          <w:color w:val="FF0000"/>
          <w:sz w:val="22"/>
          <w:szCs w:val="22"/>
        </w:rPr>
      </w:pPr>
    </w:p>
    <w:sectPr w:rsidR="00A7200E" w:rsidRPr="00A7200E">
      <w:headerReference w:type="default" r:id="rId29"/>
      <w:footerReference w:type="even" r:id="rId30"/>
      <w:footerReference w:type="default" r:id="rId31"/>
      <w:footerReference w:type="first" r:id="rId32"/>
      <w:pgSz w:w="12240" w:h="15840" w:code="1"/>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4" w:author="ERCOT Market Rules" w:date="2024-07-23T17:15:00Z" w:initials="BA">
    <w:p w14:paraId="6BBECF74" w14:textId="77777777" w:rsidR="00C15A93" w:rsidRDefault="00C15A93" w:rsidP="00C15A93">
      <w:pPr>
        <w:pStyle w:val="CommentText"/>
      </w:pPr>
      <w:r>
        <w:rPr>
          <w:rStyle w:val="CommentReference"/>
        </w:rPr>
        <w:annotationRef/>
      </w:r>
      <w:r>
        <w:t>Please note VCMRR041 also proposes revisions to this section.</w:t>
      </w:r>
    </w:p>
  </w:comment>
  <w:comment w:id="28" w:author="ERCOT Market Rules" w:date="2024-07-23T17:16:00Z" w:initials="BA">
    <w:p w14:paraId="1BA75B8F" w14:textId="77777777" w:rsidR="00C15A93" w:rsidRDefault="00C15A93" w:rsidP="00C15A93">
      <w:pPr>
        <w:pStyle w:val="CommentText"/>
      </w:pPr>
      <w:r>
        <w:rPr>
          <w:rStyle w:val="CommentReference"/>
        </w:rPr>
        <w:annotationRef/>
      </w:r>
      <w:r>
        <w:t>Please note VCMRR041 also proposes revisions to this section.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BBECF74" w15:done="0"/>
  <w15:commentEx w15:paraId="1BA75B8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A4A63C9" w16cex:dateUtc="2024-07-23T22:15:00Z"/>
  <w16cex:commentExtensible w16cex:durableId="2A4A63D5" w16cex:dateUtc="2024-07-23T22:1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BBECF74" w16cid:durableId="2A4A63C9"/>
  <w16cid:commentId w16cid:paraId="1BA75B8F" w16cid:durableId="2A4A63D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FB576D" w14:textId="77777777" w:rsidR="00860947" w:rsidRDefault="00860947">
      <w:r>
        <w:separator/>
      </w:r>
    </w:p>
  </w:endnote>
  <w:endnote w:type="continuationSeparator" w:id="0">
    <w:p w14:paraId="1489A74C" w14:textId="77777777" w:rsidR="00860947" w:rsidRDefault="008609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F3D9C2" w14:textId="77777777" w:rsidR="00D176CF" w:rsidRPr="00412DCA" w:rsidRDefault="00D176CF">
    <w:pPr>
      <w:pStyle w:val="Footer"/>
      <w:pBdr>
        <w:top w:val="single" w:sz="4" w:space="1" w:color="auto"/>
      </w:pBdr>
      <w:tabs>
        <w:tab w:val="clear" w:pos="4320"/>
        <w:tab w:val="clear" w:pos="8640"/>
        <w:tab w:val="right" w:pos="9360"/>
      </w:tabs>
      <w:rPr>
        <w:rFonts w:ascii="Arial" w:hAnsi="Arial" w:cs="Arial"/>
        <w:sz w:val="18"/>
      </w:rPr>
    </w:pPr>
    <w:r w:rsidRPr="00412DCA">
      <w:rPr>
        <w:rFonts w:ascii="Arial" w:hAnsi="Arial" w:cs="Arial"/>
        <w:sz w:val="18"/>
      </w:rPr>
      <w:fldChar w:fldCharType="begin" w:fldLock="1"/>
    </w:r>
    <w:r w:rsidRPr="00412DCA">
      <w:rPr>
        <w:rFonts w:ascii="Arial" w:hAnsi="Arial" w:cs="Arial"/>
        <w:sz w:val="18"/>
      </w:rPr>
      <w:instrText xml:space="preserve"> FILENAME </w:instrText>
    </w:r>
    <w:r w:rsidRPr="00412DCA">
      <w:rPr>
        <w:rFonts w:ascii="Arial" w:hAnsi="Arial" w:cs="Arial"/>
        <w:sz w:val="18"/>
      </w:rPr>
      <w:fldChar w:fldCharType="separate"/>
    </w:r>
    <w:r w:rsidRPr="00412DCA">
      <w:rPr>
        <w:rFonts w:ascii="Arial" w:hAnsi="Arial" w:cs="Arial"/>
        <w:noProof/>
        <w:sz w:val="18"/>
      </w:rPr>
      <w:t>PRR_Template.doc</w:t>
    </w:r>
    <w:r w:rsidRPr="00412DCA">
      <w:rPr>
        <w:rFonts w:ascii="Arial" w:hAnsi="Arial" w:cs="Arial"/>
        <w:sz w:val="18"/>
      </w:rPr>
      <w:fldChar w:fldCharType="end"/>
    </w:r>
    <w:r w:rsidRPr="00412DCA">
      <w:rPr>
        <w:rFonts w:ascii="Arial" w:hAnsi="Arial" w:cs="Arial"/>
        <w:sz w:val="18"/>
      </w:rPr>
      <w:tab/>
      <w:t xml:space="preserve">Page </w:t>
    </w:r>
    <w:r w:rsidRPr="00412DCA">
      <w:rPr>
        <w:rFonts w:ascii="Arial" w:hAnsi="Arial" w:cs="Arial"/>
        <w:sz w:val="18"/>
      </w:rPr>
      <w:fldChar w:fldCharType="begin"/>
    </w:r>
    <w:r w:rsidRPr="00412DCA">
      <w:rPr>
        <w:rFonts w:ascii="Arial" w:hAnsi="Arial" w:cs="Arial"/>
        <w:sz w:val="18"/>
      </w:rPr>
      <w:instrText xml:space="preserve"> PAGE </w:instrText>
    </w:r>
    <w:r w:rsidRPr="00412DCA">
      <w:rPr>
        <w:rFonts w:ascii="Arial" w:hAnsi="Arial" w:cs="Arial"/>
        <w:sz w:val="18"/>
      </w:rPr>
      <w:fldChar w:fldCharType="separate"/>
    </w:r>
    <w:r w:rsidRPr="00412DCA">
      <w:rPr>
        <w:rFonts w:ascii="Arial" w:hAnsi="Arial" w:cs="Arial"/>
        <w:noProof/>
        <w:sz w:val="18"/>
      </w:rPr>
      <w:t>2</w:t>
    </w:r>
    <w:r w:rsidRPr="00412DCA">
      <w:rPr>
        <w:rFonts w:ascii="Arial" w:hAnsi="Arial" w:cs="Arial"/>
        <w:sz w:val="18"/>
      </w:rPr>
      <w:fldChar w:fldCharType="end"/>
    </w:r>
    <w:r w:rsidRPr="00412DCA">
      <w:rPr>
        <w:rFonts w:ascii="Arial" w:hAnsi="Arial" w:cs="Arial"/>
        <w:sz w:val="18"/>
      </w:rPr>
      <w:t xml:space="preserve"> of </w:t>
    </w:r>
    <w:r w:rsidRPr="00412DCA">
      <w:rPr>
        <w:rFonts w:ascii="Arial" w:hAnsi="Arial" w:cs="Arial"/>
        <w:sz w:val="18"/>
      </w:rPr>
      <w:fldChar w:fldCharType="begin"/>
    </w:r>
    <w:r w:rsidRPr="00412DCA">
      <w:rPr>
        <w:rFonts w:ascii="Arial" w:hAnsi="Arial" w:cs="Arial"/>
        <w:sz w:val="18"/>
      </w:rPr>
      <w:instrText xml:space="preserve"> NUMPAGES </w:instrText>
    </w:r>
    <w:r w:rsidRPr="00412DCA">
      <w:rPr>
        <w:rFonts w:ascii="Arial" w:hAnsi="Arial" w:cs="Arial"/>
        <w:sz w:val="18"/>
      </w:rPr>
      <w:fldChar w:fldCharType="separate"/>
    </w:r>
    <w:r w:rsidR="00386C35">
      <w:rPr>
        <w:rFonts w:ascii="Arial" w:hAnsi="Arial" w:cs="Arial"/>
        <w:noProof/>
        <w:sz w:val="18"/>
      </w:rPr>
      <w:t>2</w:t>
    </w:r>
    <w:r w:rsidRPr="00412DCA">
      <w:rPr>
        <w:rFonts w:ascii="Arial" w:hAnsi="Arial" w:cs="Arial"/>
        <w:sz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1E2D1F" w14:textId="56FE9F9F" w:rsidR="00D176CF" w:rsidRPr="00BC35DD" w:rsidRDefault="00BC35DD">
    <w:pPr>
      <w:pStyle w:val="Footer"/>
      <w:tabs>
        <w:tab w:val="clear" w:pos="4320"/>
        <w:tab w:val="clear" w:pos="8640"/>
        <w:tab w:val="right" w:pos="9360"/>
      </w:tabs>
      <w:rPr>
        <w:rFonts w:ascii="Arial" w:hAnsi="Arial" w:cs="Arial"/>
        <w:sz w:val="18"/>
        <w:szCs w:val="18"/>
      </w:rPr>
    </w:pPr>
    <w:r w:rsidRPr="00BC35DD">
      <w:rPr>
        <w:rFonts w:ascii="Arial" w:hAnsi="Arial" w:cs="Arial"/>
        <w:sz w:val="18"/>
        <w:szCs w:val="18"/>
      </w:rPr>
      <w:t>042</w:t>
    </w:r>
    <w:r w:rsidR="009E5F2F" w:rsidRPr="00BC35DD">
      <w:rPr>
        <w:rFonts w:ascii="Arial" w:hAnsi="Arial" w:cs="Arial"/>
        <w:sz w:val="18"/>
        <w:szCs w:val="18"/>
      </w:rPr>
      <w:t>VCMRR-01 SO</w:t>
    </w:r>
    <w:r w:rsidR="009E5F2F" w:rsidRPr="00BC35DD">
      <w:rPr>
        <w:rFonts w:ascii="Arial" w:hAnsi="Arial" w:cs="Arial"/>
        <w:sz w:val="18"/>
        <w:szCs w:val="18"/>
        <w:vertAlign w:val="subscript"/>
      </w:rPr>
      <w:t xml:space="preserve">2 </w:t>
    </w:r>
    <w:r w:rsidR="009E5F2F" w:rsidRPr="00BC35DD">
      <w:rPr>
        <w:rFonts w:ascii="Arial" w:hAnsi="Arial" w:cs="Arial"/>
        <w:sz w:val="18"/>
        <w:szCs w:val="18"/>
      </w:rPr>
      <w:t>and NO</w:t>
    </w:r>
    <w:r w:rsidR="009E5F2F" w:rsidRPr="00BC35DD">
      <w:rPr>
        <w:rFonts w:ascii="Arial" w:hAnsi="Arial" w:cs="Arial"/>
        <w:sz w:val="18"/>
        <w:szCs w:val="18"/>
        <w:vertAlign w:val="subscript"/>
      </w:rPr>
      <w:t xml:space="preserve">x </w:t>
    </w:r>
    <w:r w:rsidR="009E5F2F" w:rsidRPr="00BC35DD">
      <w:rPr>
        <w:rFonts w:ascii="Arial" w:hAnsi="Arial" w:cs="Arial"/>
        <w:sz w:val="18"/>
        <w:szCs w:val="18"/>
      </w:rPr>
      <w:t>Emission Index Prices Used in Verifiable Cost Calculations 072324</w:t>
    </w:r>
    <w:r w:rsidR="00D176CF" w:rsidRPr="00BC35DD">
      <w:rPr>
        <w:rFonts w:ascii="Arial" w:hAnsi="Arial" w:cs="Arial"/>
        <w:sz w:val="18"/>
        <w:szCs w:val="18"/>
      </w:rPr>
      <w:tab/>
      <w:t xml:space="preserve">Page </w:t>
    </w:r>
    <w:r w:rsidR="00D176CF" w:rsidRPr="00BC35DD">
      <w:rPr>
        <w:rFonts w:ascii="Arial" w:hAnsi="Arial" w:cs="Arial"/>
        <w:sz w:val="18"/>
        <w:szCs w:val="18"/>
      </w:rPr>
      <w:fldChar w:fldCharType="begin"/>
    </w:r>
    <w:r w:rsidR="00D176CF" w:rsidRPr="00BC35DD">
      <w:rPr>
        <w:rFonts w:ascii="Arial" w:hAnsi="Arial" w:cs="Arial"/>
        <w:sz w:val="18"/>
        <w:szCs w:val="18"/>
      </w:rPr>
      <w:instrText xml:space="preserve"> PAGE </w:instrText>
    </w:r>
    <w:r w:rsidR="00D176CF" w:rsidRPr="00BC35DD">
      <w:rPr>
        <w:rFonts w:ascii="Arial" w:hAnsi="Arial" w:cs="Arial"/>
        <w:sz w:val="18"/>
        <w:szCs w:val="18"/>
      </w:rPr>
      <w:fldChar w:fldCharType="separate"/>
    </w:r>
    <w:r w:rsidR="00ED4FBF" w:rsidRPr="00BC35DD">
      <w:rPr>
        <w:rFonts w:ascii="Arial" w:hAnsi="Arial" w:cs="Arial"/>
        <w:noProof/>
        <w:sz w:val="18"/>
        <w:szCs w:val="18"/>
      </w:rPr>
      <w:t>1</w:t>
    </w:r>
    <w:r w:rsidR="00D176CF" w:rsidRPr="00BC35DD">
      <w:rPr>
        <w:rFonts w:ascii="Arial" w:hAnsi="Arial" w:cs="Arial"/>
        <w:sz w:val="18"/>
        <w:szCs w:val="18"/>
      </w:rPr>
      <w:fldChar w:fldCharType="end"/>
    </w:r>
    <w:r w:rsidR="00D176CF" w:rsidRPr="00BC35DD">
      <w:rPr>
        <w:rFonts w:ascii="Arial" w:hAnsi="Arial" w:cs="Arial"/>
        <w:sz w:val="18"/>
        <w:szCs w:val="18"/>
      </w:rPr>
      <w:t xml:space="preserve"> of </w:t>
    </w:r>
    <w:r w:rsidR="00D176CF" w:rsidRPr="00BC35DD">
      <w:rPr>
        <w:rFonts w:ascii="Arial" w:hAnsi="Arial" w:cs="Arial"/>
        <w:sz w:val="18"/>
        <w:szCs w:val="18"/>
      </w:rPr>
      <w:fldChar w:fldCharType="begin"/>
    </w:r>
    <w:r w:rsidR="00D176CF" w:rsidRPr="00BC35DD">
      <w:rPr>
        <w:rFonts w:ascii="Arial" w:hAnsi="Arial" w:cs="Arial"/>
        <w:sz w:val="18"/>
        <w:szCs w:val="18"/>
      </w:rPr>
      <w:instrText xml:space="preserve"> NUMPAGES </w:instrText>
    </w:r>
    <w:r w:rsidR="00D176CF" w:rsidRPr="00BC35DD">
      <w:rPr>
        <w:rFonts w:ascii="Arial" w:hAnsi="Arial" w:cs="Arial"/>
        <w:sz w:val="18"/>
        <w:szCs w:val="18"/>
      </w:rPr>
      <w:fldChar w:fldCharType="separate"/>
    </w:r>
    <w:r w:rsidR="00ED4FBF" w:rsidRPr="00BC35DD">
      <w:rPr>
        <w:rFonts w:ascii="Arial" w:hAnsi="Arial" w:cs="Arial"/>
        <w:noProof/>
        <w:sz w:val="18"/>
        <w:szCs w:val="18"/>
      </w:rPr>
      <w:t>2</w:t>
    </w:r>
    <w:r w:rsidR="00D176CF" w:rsidRPr="00BC35DD">
      <w:rPr>
        <w:rFonts w:ascii="Arial" w:hAnsi="Arial" w:cs="Arial"/>
        <w:sz w:val="18"/>
        <w:szCs w:val="18"/>
      </w:rPr>
      <w:fldChar w:fldCharType="end"/>
    </w:r>
  </w:p>
  <w:p w14:paraId="2CB60848" w14:textId="77777777" w:rsidR="00D176CF" w:rsidRPr="00BC35DD" w:rsidRDefault="00D176CF">
    <w:pPr>
      <w:pStyle w:val="Footer"/>
      <w:tabs>
        <w:tab w:val="clear" w:pos="4320"/>
        <w:tab w:val="clear" w:pos="8640"/>
        <w:tab w:val="right" w:pos="9360"/>
      </w:tabs>
      <w:rPr>
        <w:rFonts w:ascii="Arial" w:hAnsi="Arial" w:cs="Arial"/>
        <w:sz w:val="18"/>
        <w:szCs w:val="18"/>
      </w:rPr>
    </w:pPr>
    <w:r w:rsidRPr="00BC35DD">
      <w:rPr>
        <w:rFonts w:ascii="Arial" w:hAnsi="Arial" w:cs="Arial"/>
        <w:sz w:val="18"/>
        <w:szCs w:val="18"/>
      </w:rPr>
      <w:t>PUBLIC</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6E22B9" w14:textId="77777777" w:rsidR="00D176CF" w:rsidRPr="00412DCA" w:rsidRDefault="00D176CF">
    <w:pPr>
      <w:pStyle w:val="Footer"/>
      <w:pBdr>
        <w:top w:val="single" w:sz="4" w:space="1" w:color="auto"/>
      </w:pBdr>
      <w:tabs>
        <w:tab w:val="clear" w:pos="4320"/>
        <w:tab w:val="clear" w:pos="8640"/>
        <w:tab w:val="right" w:pos="9360"/>
      </w:tabs>
      <w:rPr>
        <w:rFonts w:ascii="Arial" w:hAnsi="Arial" w:cs="Arial"/>
        <w:sz w:val="18"/>
      </w:rPr>
    </w:pPr>
    <w:r w:rsidRPr="00412DCA">
      <w:rPr>
        <w:rFonts w:ascii="Arial" w:hAnsi="Arial" w:cs="Arial"/>
        <w:sz w:val="18"/>
      </w:rPr>
      <w:fldChar w:fldCharType="begin" w:fldLock="1"/>
    </w:r>
    <w:r w:rsidRPr="00412DCA">
      <w:rPr>
        <w:rFonts w:ascii="Arial" w:hAnsi="Arial" w:cs="Arial"/>
        <w:sz w:val="18"/>
      </w:rPr>
      <w:instrText xml:space="preserve"> FILENAME </w:instrText>
    </w:r>
    <w:r w:rsidRPr="00412DCA">
      <w:rPr>
        <w:rFonts w:ascii="Arial" w:hAnsi="Arial" w:cs="Arial"/>
        <w:sz w:val="18"/>
      </w:rPr>
      <w:fldChar w:fldCharType="separate"/>
    </w:r>
    <w:r w:rsidRPr="00412DCA">
      <w:rPr>
        <w:rFonts w:ascii="Arial" w:hAnsi="Arial" w:cs="Arial"/>
        <w:noProof/>
        <w:sz w:val="18"/>
      </w:rPr>
      <w:t>PRR_Template.doc</w:t>
    </w:r>
    <w:r w:rsidRPr="00412DCA">
      <w:rPr>
        <w:rFonts w:ascii="Arial" w:hAnsi="Arial" w:cs="Arial"/>
        <w:sz w:val="18"/>
      </w:rPr>
      <w:fldChar w:fldCharType="end"/>
    </w:r>
    <w:r w:rsidRPr="00412DCA">
      <w:rPr>
        <w:rFonts w:ascii="Arial" w:hAnsi="Arial" w:cs="Arial"/>
        <w:sz w:val="18"/>
      </w:rPr>
      <w:tab/>
      <w:t xml:space="preserve">Page </w:t>
    </w:r>
    <w:r w:rsidRPr="00412DCA">
      <w:rPr>
        <w:rFonts w:ascii="Arial" w:hAnsi="Arial" w:cs="Arial"/>
        <w:sz w:val="18"/>
      </w:rPr>
      <w:fldChar w:fldCharType="begin"/>
    </w:r>
    <w:r w:rsidRPr="00412DCA">
      <w:rPr>
        <w:rFonts w:ascii="Arial" w:hAnsi="Arial" w:cs="Arial"/>
        <w:sz w:val="18"/>
      </w:rPr>
      <w:instrText xml:space="preserve"> PAGE </w:instrText>
    </w:r>
    <w:r w:rsidRPr="00412DCA">
      <w:rPr>
        <w:rFonts w:ascii="Arial" w:hAnsi="Arial" w:cs="Arial"/>
        <w:sz w:val="18"/>
      </w:rPr>
      <w:fldChar w:fldCharType="separate"/>
    </w:r>
    <w:r w:rsidRPr="00412DCA">
      <w:rPr>
        <w:rFonts w:ascii="Arial" w:hAnsi="Arial" w:cs="Arial"/>
        <w:noProof/>
        <w:sz w:val="18"/>
      </w:rPr>
      <w:t>2</w:t>
    </w:r>
    <w:r w:rsidRPr="00412DCA">
      <w:rPr>
        <w:rFonts w:ascii="Arial" w:hAnsi="Arial" w:cs="Arial"/>
        <w:sz w:val="18"/>
      </w:rPr>
      <w:fldChar w:fldCharType="end"/>
    </w:r>
    <w:r w:rsidRPr="00412DCA">
      <w:rPr>
        <w:rFonts w:ascii="Arial" w:hAnsi="Arial" w:cs="Arial"/>
        <w:sz w:val="18"/>
      </w:rPr>
      <w:t xml:space="preserve"> of </w:t>
    </w:r>
    <w:r w:rsidRPr="00412DCA">
      <w:rPr>
        <w:rFonts w:ascii="Arial" w:hAnsi="Arial" w:cs="Arial"/>
        <w:sz w:val="18"/>
      </w:rPr>
      <w:fldChar w:fldCharType="begin"/>
    </w:r>
    <w:r w:rsidRPr="00412DCA">
      <w:rPr>
        <w:rFonts w:ascii="Arial" w:hAnsi="Arial" w:cs="Arial"/>
        <w:sz w:val="18"/>
      </w:rPr>
      <w:instrText xml:space="preserve"> NUMPAGES </w:instrText>
    </w:r>
    <w:r w:rsidRPr="00412DCA">
      <w:rPr>
        <w:rFonts w:ascii="Arial" w:hAnsi="Arial" w:cs="Arial"/>
        <w:sz w:val="18"/>
      </w:rPr>
      <w:fldChar w:fldCharType="separate"/>
    </w:r>
    <w:r w:rsidR="00386C35">
      <w:rPr>
        <w:rFonts w:ascii="Arial" w:hAnsi="Arial" w:cs="Arial"/>
        <w:noProof/>
        <w:sz w:val="18"/>
      </w:rPr>
      <w:t>2</w:t>
    </w:r>
    <w:r w:rsidRPr="00412DCA">
      <w:rPr>
        <w:rFonts w:ascii="Arial" w:hAnsi="Arial" w:cs="Arial"/>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1F11CB" w14:textId="77777777" w:rsidR="00860947" w:rsidRDefault="00860947">
      <w:r>
        <w:separator/>
      </w:r>
    </w:p>
  </w:footnote>
  <w:footnote w:type="continuationSeparator" w:id="0">
    <w:p w14:paraId="398CE9E5" w14:textId="77777777" w:rsidR="00860947" w:rsidRDefault="008609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59AC78" w14:textId="77777777" w:rsidR="00D176CF" w:rsidRDefault="009F2A00" w:rsidP="00B07C46">
    <w:pPr>
      <w:pStyle w:val="Header"/>
      <w:jc w:val="center"/>
      <w:rPr>
        <w:sz w:val="32"/>
      </w:rPr>
    </w:pPr>
    <w:r>
      <w:rPr>
        <w:sz w:val="32"/>
      </w:rPr>
      <w:t>Verifiable Cost Manual</w:t>
    </w:r>
    <w:r w:rsidR="00D176CF">
      <w:rPr>
        <w:sz w:val="32"/>
      </w:rPr>
      <w:t xml:space="preserve"> Revision Request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4"/>
    <w:multiLevelType w:val="multilevel"/>
    <w:tmpl w:val="BC5A5418"/>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 w15:restartNumberingAfterBreak="0">
    <w:nsid w:val="00000018"/>
    <w:multiLevelType w:val="singleLevel"/>
    <w:tmpl w:val="DFB241A2"/>
    <w:lvl w:ilvl="0">
      <w:start w:val="1"/>
      <w:numFmt w:val="bullet"/>
      <w:pStyle w:val="BulletIndent"/>
      <w:lvlText w:val=""/>
      <w:lvlJc w:val="left"/>
      <w:pPr>
        <w:tabs>
          <w:tab w:val="num" w:pos="360"/>
        </w:tabs>
        <w:ind w:left="360" w:hanging="360"/>
      </w:pPr>
      <w:rPr>
        <w:rFonts w:ascii="Symbol" w:hAnsi="Symbol" w:hint="default"/>
      </w:rPr>
    </w:lvl>
  </w:abstractNum>
  <w:abstractNum w:abstractNumId="2" w15:restartNumberingAfterBreak="0">
    <w:nsid w:val="136F434C"/>
    <w:multiLevelType w:val="hybridMultilevel"/>
    <w:tmpl w:val="EF46D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DF51AB"/>
    <w:multiLevelType w:val="hybridMultilevel"/>
    <w:tmpl w:val="C41A9A32"/>
    <w:lvl w:ilvl="0" w:tplc="CDF0F1EA">
      <w:start w:val="1"/>
      <w:numFmt w:val="bullet"/>
      <w:pStyle w:val="Table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634546E"/>
    <w:multiLevelType w:val="hybridMultilevel"/>
    <w:tmpl w:val="95B24F24"/>
    <w:lvl w:ilvl="0" w:tplc="FBBAB3DA">
      <w:start w:val="1"/>
      <w:numFmt w:val="bullet"/>
      <w:lvlText w:val=""/>
      <w:lvlJc w:val="left"/>
      <w:pPr>
        <w:ind w:left="975"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BB43FCB"/>
    <w:multiLevelType w:val="hybridMultilevel"/>
    <w:tmpl w:val="3B5480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65802E81"/>
    <w:multiLevelType w:val="hybridMultilevel"/>
    <w:tmpl w:val="AFBC2F2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66510064"/>
    <w:multiLevelType w:val="multilevel"/>
    <w:tmpl w:val="78CEE07A"/>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8" w15:restartNumberingAfterBreak="0">
    <w:nsid w:val="66CF6858"/>
    <w:multiLevelType w:val="hybridMultilevel"/>
    <w:tmpl w:val="84063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BA329B3"/>
    <w:multiLevelType w:val="hybridMultilevel"/>
    <w:tmpl w:val="3EB282C8"/>
    <w:lvl w:ilvl="0" w:tplc="708C4898">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7125694A"/>
    <w:multiLevelType w:val="hybridMultilevel"/>
    <w:tmpl w:val="7BA25B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6060C90"/>
    <w:multiLevelType w:val="hybridMultilevel"/>
    <w:tmpl w:val="246208DE"/>
    <w:lvl w:ilvl="0" w:tplc="9434FC1A">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7B331525"/>
    <w:multiLevelType w:val="singleLevel"/>
    <w:tmpl w:val="0AB409BE"/>
    <w:lvl w:ilvl="0">
      <w:start w:val="1"/>
      <w:numFmt w:val="bullet"/>
      <w:pStyle w:val="Bullet"/>
      <w:lvlText w:val=""/>
      <w:lvlJc w:val="left"/>
      <w:pPr>
        <w:tabs>
          <w:tab w:val="num" w:pos="360"/>
        </w:tabs>
        <w:ind w:left="360" w:hanging="360"/>
      </w:pPr>
      <w:rPr>
        <w:rFonts w:ascii="Symbol" w:hAnsi="Symbol" w:hint="default"/>
      </w:rPr>
    </w:lvl>
  </w:abstractNum>
  <w:num w:numId="1" w16cid:durableId="1807315227">
    <w:abstractNumId w:val="0"/>
  </w:num>
  <w:num w:numId="2" w16cid:durableId="809446424">
    <w:abstractNumId w:val="11"/>
  </w:num>
  <w:num w:numId="3" w16cid:durableId="199362140">
    <w:abstractNumId w:val="12"/>
  </w:num>
  <w:num w:numId="4" w16cid:durableId="93475814">
    <w:abstractNumId w:val="1"/>
  </w:num>
  <w:num w:numId="5" w16cid:durableId="94135086">
    <w:abstractNumId w:val="7"/>
  </w:num>
  <w:num w:numId="6" w16cid:durableId="967081564">
    <w:abstractNumId w:val="7"/>
  </w:num>
  <w:num w:numId="7" w16cid:durableId="591475041">
    <w:abstractNumId w:val="7"/>
  </w:num>
  <w:num w:numId="8" w16cid:durableId="1177619014">
    <w:abstractNumId w:val="7"/>
  </w:num>
  <w:num w:numId="9" w16cid:durableId="1365206747">
    <w:abstractNumId w:val="7"/>
  </w:num>
  <w:num w:numId="10" w16cid:durableId="6947540">
    <w:abstractNumId w:val="7"/>
  </w:num>
  <w:num w:numId="11" w16cid:durableId="620570879">
    <w:abstractNumId w:val="7"/>
  </w:num>
  <w:num w:numId="12" w16cid:durableId="1840537976">
    <w:abstractNumId w:val="7"/>
  </w:num>
  <w:num w:numId="13" w16cid:durableId="889531966">
    <w:abstractNumId w:val="7"/>
  </w:num>
  <w:num w:numId="14" w16cid:durableId="922106794">
    <w:abstractNumId w:val="3"/>
  </w:num>
  <w:num w:numId="15" w16cid:durableId="559563437">
    <w:abstractNumId w:val="6"/>
  </w:num>
  <w:num w:numId="16" w16cid:durableId="30543190">
    <w:abstractNumId w:val="9"/>
  </w:num>
  <w:num w:numId="17" w16cid:durableId="1958901407">
    <w:abstractNumId w:val="10"/>
  </w:num>
  <w:num w:numId="18" w16cid:durableId="1273435747">
    <w:abstractNumId w:val="4"/>
  </w:num>
  <w:num w:numId="19" w16cid:durableId="1844009090">
    <w:abstractNumId w:val="8"/>
  </w:num>
  <w:num w:numId="20" w16cid:durableId="1765689323">
    <w:abstractNumId w:val="2"/>
  </w:num>
  <w:num w:numId="21" w16cid:durableId="1883328148">
    <w:abstractNumId w:val="5"/>
    <w:lvlOverride w:ilvl="0"/>
    <w:lvlOverride w:ilvl="1"/>
    <w:lvlOverride w:ilvl="2"/>
    <w:lvlOverride w:ilvl="3"/>
    <w:lvlOverride w:ilvl="4"/>
    <w:lvlOverride w:ilvl="5"/>
    <w:lvlOverride w:ilvl="6"/>
    <w:lvlOverride w:ilvl="7"/>
    <w:lvlOverride w:ilv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ERCOT Market Rules">
    <w15:presenceInfo w15:providerId="None" w15:userId="ERCOT Market Rules"/>
  </w15:person>
  <w15:person w15:author="Luminant">
    <w15:presenceInfo w15:providerId="None" w15:userId="Luminan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noPunctuationKerning/>
  <w:characterSpacingControl w:val="doNotCompress"/>
  <w:hdrShapeDefaults>
    <o:shapedefaults v:ext="edit" spidmax="378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C6C"/>
    <w:rsid w:val="00006711"/>
    <w:rsid w:val="00060A5A"/>
    <w:rsid w:val="00064B44"/>
    <w:rsid w:val="00067FE2"/>
    <w:rsid w:val="0007682E"/>
    <w:rsid w:val="000B58BF"/>
    <w:rsid w:val="000D1AEB"/>
    <w:rsid w:val="000D3E64"/>
    <w:rsid w:val="000F13C5"/>
    <w:rsid w:val="00105A36"/>
    <w:rsid w:val="00127985"/>
    <w:rsid w:val="001313B4"/>
    <w:rsid w:val="0014546D"/>
    <w:rsid w:val="001500D9"/>
    <w:rsid w:val="00156DB7"/>
    <w:rsid w:val="00157228"/>
    <w:rsid w:val="00160C3C"/>
    <w:rsid w:val="0017783C"/>
    <w:rsid w:val="0019314C"/>
    <w:rsid w:val="001B3B85"/>
    <w:rsid w:val="001F38F0"/>
    <w:rsid w:val="00207D3A"/>
    <w:rsid w:val="00237430"/>
    <w:rsid w:val="00272C75"/>
    <w:rsid w:val="00276A99"/>
    <w:rsid w:val="00286AD9"/>
    <w:rsid w:val="002966F3"/>
    <w:rsid w:val="002A1E0E"/>
    <w:rsid w:val="002A794D"/>
    <w:rsid w:val="002B69F3"/>
    <w:rsid w:val="002B763A"/>
    <w:rsid w:val="002D382A"/>
    <w:rsid w:val="002F1EDD"/>
    <w:rsid w:val="003013F2"/>
    <w:rsid w:val="003015DD"/>
    <w:rsid w:val="0030232A"/>
    <w:rsid w:val="0030694A"/>
    <w:rsid w:val="003069F4"/>
    <w:rsid w:val="0035011E"/>
    <w:rsid w:val="00352B5D"/>
    <w:rsid w:val="00360920"/>
    <w:rsid w:val="0036496B"/>
    <w:rsid w:val="00367E09"/>
    <w:rsid w:val="00384709"/>
    <w:rsid w:val="00386C35"/>
    <w:rsid w:val="003A3D77"/>
    <w:rsid w:val="003B5AED"/>
    <w:rsid w:val="003C6B7B"/>
    <w:rsid w:val="003E4B22"/>
    <w:rsid w:val="004135BD"/>
    <w:rsid w:val="004302A4"/>
    <w:rsid w:val="00444A71"/>
    <w:rsid w:val="004463BA"/>
    <w:rsid w:val="004523CB"/>
    <w:rsid w:val="004822D4"/>
    <w:rsid w:val="0048500E"/>
    <w:rsid w:val="0049290B"/>
    <w:rsid w:val="004A4451"/>
    <w:rsid w:val="004B21AA"/>
    <w:rsid w:val="004D3958"/>
    <w:rsid w:val="004D4244"/>
    <w:rsid w:val="004E0DC1"/>
    <w:rsid w:val="005008DF"/>
    <w:rsid w:val="005045D0"/>
    <w:rsid w:val="00511333"/>
    <w:rsid w:val="00534C6C"/>
    <w:rsid w:val="005841C0"/>
    <w:rsid w:val="0059260F"/>
    <w:rsid w:val="005E5074"/>
    <w:rsid w:val="006101B5"/>
    <w:rsid w:val="00612E4F"/>
    <w:rsid w:val="00615D5E"/>
    <w:rsid w:val="00622E99"/>
    <w:rsid w:val="00625E5D"/>
    <w:rsid w:val="0066370F"/>
    <w:rsid w:val="006A0784"/>
    <w:rsid w:val="006A697B"/>
    <w:rsid w:val="006B4DDE"/>
    <w:rsid w:val="006F18F6"/>
    <w:rsid w:val="00743968"/>
    <w:rsid w:val="00777C2E"/>
    <w:rsid w:val="00785415"/>
    <w:rsid w:val="00791CB9"/>
    <w:rsid w:val="00793130"/>
    <w:rsid w:val="007B3233"/>
    <w:rsid w:val="007B5A42"/>
    <w:rsid w:val="007C199B"/>
    <w:rsid w:val="007D3073"/>
    <w:rsid w:val="007D64B9"/>
    <w:rsid w:val="007D72D4"/>
    <w:rsid w:val="007E0236"/>
    <w:rsid w:val="007E0452"/>
    <w:rsid w:val="007E6285"/>
    <w:rsid w:val="008070C0"/>
    <w:rsid w:val="00811C12"/>
    <w:rsid w:val="008209D7"/>
    <w:rsid w:val="00827A78"/>
    <w:rsid w:val="00845778"/>
    <w:rsid w:val="00860947"/>
    <w:rsid w:val="008667CD"/>
    <w:rsid w:val="00887E28"/>
    <w:rsid w:val="00892C6E"/>
    <w:rsid w:val="008C429A"/>
    <w:rsid w:val="008D5C3A"/>
    <w:rsid w:val="008E6DA2"/>
    <w:rsid w:val="00907B1E"/>
    <w:rsid w:val="00930C49"/>
    <w:rsid w:val="00943AFD"/>
    <w:rsid w:val="009440DD"/>
    <w:rsid w:val="00945015"/>
    <w:rsid w:val="00945823"/>
    <w:rsid w:val="00963A51"/>
    <w:rsid w:val="009766C1"/>
    <w:rsid w:val="00983B6E"/>
    <w:rsid w:val="009936F8"/>
    <w:rsid w:val="009A3772"/>
    <w:rsid w:val="009B0D99"/>
    <w:rsid w:val="009B778E"/>
    <w:rsid w:val="009C011B"/>
    <w:rsid w:val="009D17F0"/>
    <w:rsid w:val="009E5F2F"/>
    <w:rsid w:val="009F2A00"/>
    <w:rsid w:val="00A06E64"/>
    <w:rsid w:val="00A37B1C"/>
    <w:rsid w:val="00A42796"/>
    <w:rsid w:val="00A5311D"/>
    <w:rsid w:val="00A7200E"/>
    <w:rsid w:val="00A87F1F"/>
    <w:rsid w:val="00A95AA8"/>
    <w:rsid w:val="00AD3B58"/>
    <w:rsid w:val="00AF56C6"/>
    <w:rsid w:val="00B032E8"/>
    <w:rsid w:val="00B07C46"/>
    <w:rsid w:val="00B17E86"/>
    <w:rsid w:val="00B57F96"/>
    <w:rsid w:val="00B67892"/>
    <w:rsid w:val="00BA4D33"/>
    <w:rsid w:val="00BC2D06"/>
    <w:rsid w:val="00BC35DD"/>
    <w:rsid w:val="00C15A93"/>
    <w:rsid w:val="00C744EB"/>
    <w:rsid w:val="00C90702"/>
    <w:rsid w:val="00C917FF"/>
    <w:rsid w:val="00C9766A"/>
    <w:rsid w:val="00CC4F39"/>
    <w:rsid w:val="00CD544C"/>
    <w:rsid w:val="00CF4256"/>
    <w:rsid w:val="00D04FE8"/>
    <w:rsid w:val="00D176CF"/>
    <w:rsid w:val="00D271E3"/>
    <w:rsid w:val="00D47A80"/>
    <w:rsid w:val="00D85807"/>
    <w:rsid w:val="00D86258"/>
    <w:rsid w:val="00D87349"/>
    <w:rsid w:val="00D91EE9"/>
    <w:rsid w:val="00D95B9B"/>
    <w:rsid w:val="00D97220"/>
    <w:rsid w:val="00E03698"/>
    <w:rsid w:val="00E14D47"/>
    <w:rsid w:val="00E1641C"/>
    <w:rsid w:val="00E26708"/>
    <w:rsid w:val="00E32035"/>
    <w:rsid w:val="00E34958"/>
    <w:rsid w:val="00E37AB0"/>
    <w:rsid w:val="00E523EE"/>
    <w:rsid w:val="00E71C39"/>
    <w:rsid w:val="00EA56E6"/>
    <w:rsid w:val="00EC2851"/>
    <w:rsid w:val="00EC335F"/>
    <w:rsid w:val="00EC48FB"/>
    <w:rsid w:val="00ED4FBF"/>
    <w:rsid w:val="00EF232A"/>
    <w:rsid w:val="00F05A69"/>
    <w:rsid w:val="00F101AF"/>
    <w:rsid w:val="00F261EC"/>
    <w:rsid w:val="00F43FFD"/>
    <w:rsid w:val="00F44236"/>
    <w:rsid w:val="00F52517"/>
    <w:rsid w:val="00F91C40"/>
    <w:rsid w:val="00FA57B2"/>
    <w:rsid w:val="00FB0556"/>
    <w:rsid w:val="00FB509B"/>
    <w:rsid w:val="00FC3D4B"/>
    <w:rsid w:val="00FC6312"/>
    <w:rsid w:val="00FE36E3"/>
    <w:rsid w:val="00FE38D8"/>
    <w:rsid w:val="00FE42E7"/>
    <w:rsid w:val="00FE6B01"/>
    <w:rsid w:val="00FF6398"/>
    <w:rsid w:val="2E2E6C71"/>
    <w:rsid w:val="33312BEB"/>
    <w:rsid w:val="368B0A77"/>
    <w:rsid w:val="57A7194A"/>
    <w:rsid w:val="69D33D46"/>
    <w:rsid w:val="6FA3E0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7889"/>
    <o:shapelayout v:ext="edit">
      <o:idmap v:ext="edit" data="1"/>
    </o:shapelayout>
  </w:shapeDefaults>
  <w:decimalSymbol w:val="."/>
  <w:listSeparator w:val=","/>
  <w14:docId w14:val="7C976BFC"/>
  <w15:chartTrackingRefBased/>
  <w15:docId w15:val="{9C529EFD-A99B-4E28-853B-9ACCD6616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BodyText"/>
    <w:qFormat/>
    <w:pPr>
      <w:keepNext/>
      <w:numPr>
        <w:numId w:val="13"/>
      </w:numPr>
      <w:tabs>
        <w:tab w:val="clear" w:pos="432"/>
        <w:tab w:val="num" w:pos="360"/>
      </w:tabs>
      <w:spacing w:after="240"/>
      <w:ind w:left="0" w:firstLine="0"/>
      <w:outlineLvl w:val="0"/>
    </w:pPr>
    <w:rPr>
      <w:b/>
      <w:caps/>
      <w:szCs w:val="20"/>
    </w:rPr>
  </w:style>
  <w:style w:type="paragraph" w:styleId="Heading2">
    <w:name w:val="heading 2"/>
    <w:basedOn w:val="Normal"/>
    <w:next w:val="BodyText"/>
    <w:qFormat/>
    <w:pPr>
      <w:keepNext/>
      <w:numPr>
        <w:ilvl w:val="1"/>
        <w:numId w:val="13"/>
      </w:numPr>
      <w:tabs>
        <w:tab w:val="clear" w:pos="576"/>
        <w:tab w:val="num" w:pos="360"/>
      </w:tabs>
      <w:spacing w:before="240" w:after="240"/>
      <w:ind w:left="0" w:firstLine="0"/>
      <w:outlineLvl w:val="1"/>
    </w:pPr>
    <w:rPr>
      <w:b/>
      <w:szCs w:val="20"/>
    </w:rPr>
  </w:style>
  <w:style w:type="paragraph" w:styleId="Heading3">
    <w:name w:val="heading 3"/>
    <w:basedOn w:val="Normal"/>
    <w:next w:val="BodyText"/>
    <w:qFormat/>
    <w:pPr>
      <w:keepNext/>
      <w:numPr>
        <w:ilvl w:val="2"/>
        <w:numId w:val="13"/>
      </w:numPr>
      <w:tabs>
        <w:tab w:val="clear" w:pos="720"/>
        <w:tab w:val="num" w:pos="360"/>
        <w:tab w:val="left" w:pos="1008"/>
      </w:tabs>
      <w:spacing w:before="240" w:after="240"/>
      <w:ind w:left="0" w:firstLine="0"/>
      <w:outlineLvl w:val="2"/>
    </w:pPr>
    <w:rPr>
      <w:b/>
      <w:bCs/>
      <w:i/>
      <w:szCs w:val="20"/>
    </w:rPr>
  </w:style>
  <w:style w:type="paragraph" w:styleId="Heading4">
    <w:name w:val="heading 4"/>
    <w:basedOn w:val="Normal"/>
    <w:next w:val="BodyText"/>
    <w:qFormat/>
    <w:pPr>
      <w:keepNext/>
      <w:widowControl w:val="0"/>
      <w:numPr>
        <w:ilvl w:val="3"/>
        <w:numId w:val="13"/>
      </w:numPr>
      <w:tabs>
        <w:tab w:val="clear" w:pos="864"/>
        <w:tab w:val="num" w:pos="360"/>
        <w:tab w:val="left" w:pos="1296"/>
      </w:tabs>
      <w:spacing w:before="240" w:after="240"/>
      <w:ind w:left="0" w:firstLine="0"/>
      <w:outlineLvl w:val="3"/>
    </w:pPr>
    <w:rPr>
      <w:b/>
      <w:bCs/>
      <w:snapToGrid w:val="0"/>
      <w:szCs w:val="20"/>
    </w:rPr>
  </w:style>
  <w:style w:type="paragraph" w:styleId="Heading5">
    <w:name w:val="heading 5"/>
    <w:basedOn w:val="Normal"/>
    <w:next w:val="BodyText"/>
    <w:qFormat/>
    <w:pPr>
      <w:keepNext/>
      <w:numPr>
        <w:ilvl w:val="4"/>
        <w:numId w:val="13"/>
      </w:numPr>
      <w:tabs>
        <w:tab w:val="clear" w:pos="1008"/>
        <w:tab w:val="num" w:pos="360"/>
        <w:tab w:val="left" w:pos="1440"/>
      </w:tabs>
      <w:spacing w:before="240" w:after="240"/>
      <w:ind w:left="0" w:firstLine="0"/>
      <w:outlineLvl w:val="4"/>
    </w:pPr>
    <w:rPr>
      <w:b/>
      <w:bCs/>
      <w:i/>
      <w:iCs/>
      <w:szCs w:val="26"/>
    </w:rPr>
  </w:style>
  <w:style w:type="paragraph" w:styleId="Heading6">
    <w:name w:val="heading 6"/>
    <w:basedOn w:val="Normal"/>
    <w:next w:val="BodyText"/>
    <w:qFormat/>
    <w:pPr>
      <w:keepNext/>
      <w:numPr>
        <w:ilvl w:val="5"/>
        <w:numId w:val="13"/>
      </w:numPr>
      <w:tabs>
        <w:tab w:val="clear" w:pos="1152"/>
        <w:tab w:val="num" w:pos="360"/>
        <w:tab w:val="left" w:pos="1584"/>
      </w:tabs>
      <w:spacing w:before="240" w:after="240"/>
      <w:ind w:left="0" w:firstLine="0"/>
      <w:outlineLvl w:val="5"/>
    </w:pPr>
    <w:rPr>
      <w:b/>
      <w:bCs/>
      <w:szCs w:val="22"/>
    </w:rPr>
  </w:style>
  <w:style w:type="paragraph" w:styleId="Heading7">
    <w:name w:val="heading 7"/>
    <w:basedOn w:val="Normal"/>
    <w:next w:val="BodyText"/>
    <w:qFormat/>
    <w:pPr>
      <w:keepNext/>
      <w:numPr>
        <w:ilvl w:val="6"/>
        <w:numId w:val="13"/>
      </w:numPr>
      <w:tabs>
        <w:tab w:val="clear" w:pos="1296"/>
        <w:tab w:val="num" w:pos="360"/>
        <w:tab w:val="left" w:pos="1728"/>
      </w:tabs>
      <w:spacing w:before="240" w:after="240"/>
      <w:ind w:left="0" w:firstLine="0"/>
      <w:outlineLvl w:val="6"/>
    </w:pPr>
  </w:style>
  <w:style w:type="paragraph" w:styleId="Heading8">
    <w:name w:val="heading 8"/>
    <w:basedOn w:val="Normal"/>
    <w:next w:val="BodyText"/>
    <w:qFormat/>
    <w:pPr>
      <w:keepNext/>
      <w:numPr>
        <w:ilvl w:val="7"/>
        <w:numId w:val="13"/>
      </w:numPr>
      <w:tabs>
        <w:tab w:val="clear" w:pos="1440"/>
        <w:tab w:val="num" w:pos="360"/>
        <w:tab w:val="left" w:pos="1872"/>
      </w:tabs>
      <w:spacing w:before="240" w:after="240"/>
      <w:ind w:left="0" w:firstLine="0"/>
      <w:outlineLvl w:val="7"/>
    </w:pPr>
    <w:rPr>
      <w:i/>
      <w:iCs/>
    </w:rPr>
  </w:style>
  <w:style w:type="paragraph" w:styleId="Heading9">
    <w:name w:val="heading 9"/>
    <w:basedOn w:val="Normal"/>
    <w:next w:val="BodyText"/>
    <w:qFormat/>
    <w:pPr>
      <w:keepNext/>
      <w:numPr>
        <w:ilvl w:val="8"/>
        <w:numId w:val="13"/>
      </w:numPr>
      <w:tabs>
        <w:tab w:val="clear" w:pos="1584"/>
        <w:tab w:val="num" w:pos="360"/>
        <w:tab w:val="left" w:pos="2160"/>
      </w:tabs>
      <w:spacing w:before="240" w:after="240"/>
      <w:ind w:left="0" w:firstLine="0"/>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320"/>
        <w:tab w:val="right" w:pos="8640"/>
      </w:tabs>
    </w:pPr>
    <w:rPr>
      <w:rFonts w:ascii="Arial" w:hAnsi="Arial"/>
      <w:b/>
      <w:bCs/>
    </w:rPr>
  </w:style>
  <w:style w:type="paragraph" w:styleId="Footer">
    <w:name w:val="footer"/>
    <w:basedOn w:val="Normal"/>
    <w:pPr>
      <w:tabs>
        <w:tab w:val="center" w:pos="4320"/>
        <w:tab w:val="right" w:pos="8640"/>
      </w:tabs>
    </w:pPr>
  </w:style>
  <w:style w:type="paragraph" w:customStyle="1" w:styleId="TXUNormal">
    <w:name w:val="TXUNormal"/>
    <w:pPr>
      <w:spacing w:after="120"/>
    </w:pPr>
  </w:style>
  <w:style w:type="paragraph" w:customStyle="1" w:styleId="TXUHeader">
    <w:name w:val="TXUHeader"/>
    <w:basedOn w:val="TXUNormal"/>
    <w:pPr>
      <w:tabs>
        <w:tab w:val="right" w:pos="9360"/>
      </w:tabs>
      <w:spacing w:after="0"/>
    </w:pPr>
    <w:rPr>
      <w:noProof/>
      <w:sz w:val="16"/>
    </w:rPr>
  </w:style>
  <w:style w:type="paragraph" w:customStyle="1" w:styleId="TXUHeaderForm">
    <w:name w:val="TXUHeaderForm"/>
    <w:basedOn w:val="TXUHeader"/>
    <w:next w:val="Normal"/>
    <w:rPr>
      <w:sz w:val="24"/>
    </w:rPr>
  </w:style>
  <w:style w:type="paragraph" w:customStyle="1" w:styleId="TXUSubject">
    <w:name w:val="TXUSubject"/>
    <w:basedOn w:val="TXUNormal"/>
    <w:next w:val="TXUNormal"/>
    <w:pPr>
      <w:spacing w:after="240"/>
    </w:pPr>
    <w:rPr>
      <w:b/>
    </w:rPr>
  </w:style>
  <w:style w:type="paragraph" w:customStyle="1" w:styleId="TXUFooter">
    <w:name w:val="TXUFooter"/>
    <w:basedOn w:val="TXUNormal"/>
    <w:pPr>
      <w:pBdr>
        <w:top w:val="single" w:sz="4" w:space="1" w:color="auto"/>
      </w:pBdr>
      <w:tabs>
        <w:tab w:val="center" w:pos="4536"/>
        <w:tab w:val="right" w:pos="9360"/>
      </w:tabs>
      <w:spacing w:after="0"/>
    </w:pPr>
    <w:rPr>
      <w:sz w:val="16"/>
    </w:rPr>
  </w:style>
  <w:style w:type="paragraph" w:customStyle="1" w:styleId="TXUFooterPage">
    <w:name w:val="TXUFooterPage"/>
    <w:basedOn w:val="TXUFooter"/>
    <w:next w:val="TXUFooter"/>
    <w:rPr>
      <w:sz w:val="20"/>
    </w:rPr>
  </w:style>
  <w:style w:type="paragraph" w:customStyle="1" w:styleId="Comments">
    <w:name w:val="Comments"/>
    <w:basedOn w:val="Normal"/>
    <w:pPr>
      <w:pBdr>
        <w:top w:val="single" w:sz="4" w:space="1" w:color="auto"/>
        <w:left w:val="single" w:sz="4" w:space="4" w:color="auto"/>
        <w:bottom w:val="single" w:sz="4" w:space="1" w:color="auto"/>
        <w:right w:val="single" w:sz="4" w:space="4" w:color="auto"/>
      </w:pBdr>
      <w:shd w:val="clear" w:color="auto" w:fill="CCCCCC"/>
      <w:spacing w:before="120" w:after="120"/>
      <w:ind w:left="720" w:right="720"/>
    </w:pPr>
    <w:rPr>
      <w:szCs w:val="20"/>
    </w:rPr>
  </w:style>
  <w:style w:type="character" w:styleId="Hyperlink">
    <w:name w:val="Hyperlink"/>
    <w:rPr>
      <w:color w:val="0000FF"/>
      <w:u w:val="single"/>
    </w:rPr>
  </w:style>
  <w:style w:type="paragraph" w:styleId="BodyText">
    <w:name w:val="Body Text"/>
    <w:basedOn w:val="Normal"/>
    <w:pPr>
      <w:spacing w:after="240"/>
    </w:pPr>
  </w:style>
  <w:style w:type="paragraph" w:styleId="BodyTextIndent">
    <w:name w:val="Body Text Indent"/>
    <w:basedOn w:val="Normal"/>
    <w:pPr>
      <w:spacing w:after="240"/>
      <w:ind w:left="720"/>
    </w:pPr>
    <w:rPr>
      <w:iCs/>
      <w:szCs w:val="20"/>
    </w:rPr>
  </w:style>
  <w:style w:type="paragraph" w:customStyle="1" w:styleId="Bullet">
    <w:name w:val="Bullet"/>
    <w:basedOn w:val="Normal"/>
    <w:pPr>
      <w:numPr>
        <w:numId w:val="3"/>
      </w:numPr>
      <w:tabs>
        <w:tab w:val="clear" w:pos="360"/>
        <w:tab w:val="num" w:pos="432"/>
      </w:tabs>
      <w:spacing w:after="180"/>
      <w:ind w:left="432" w:hanging="432"/>
    </w:pPr>
    <w:rPr>
      <w:szCs w:val="20"/>
    </w:rPr>
  </w:style>
  <w:style w:type="paragraph" w:customStyle="1" w:styleId="NormalArial">
    <w:name w:val="Normal+Arial"/>
    <w:basedOn w:val="Normal"/>
    <w:link w:val="NormalArialChar"/>
    <w:rPr>
      <w:rFonts w:ascii="Arial" w:hAnsi="Arial"/>
    </w:rPr>
  </w:style>
  <w:style w:type="table" w:customStyle="1" w:styleId="BoxedLanguage">
    <w:name w:val="Boxed Language"/>
    <w:basedOn w:val="TableNormal"/>
    <w:tblPr>
      <w:tblBorders>
        <w:top w:val="single" w:sz="4" w:space="0" w:color="auto"/>
        <w:left w:val="single" w:sz="4" w:space="0" w:color="auto"/>
        <w:bottom w:val="single" w:sz="4" w:space="0" w:color="auto"/>
        <w:right w:val="single" w:sz="4" w:space="0" w:color="auto"/>
      </w:tblBorders>
      <w:tblCellMar>
        <w:top w:w="144" w:type="dxa"/>
        <w:left w:w="115" w:type="dxa"/>
        <w:right w:w="115" w:type="dxa"/>
      </w:tblCellMar>
    </w:tblPr>
    <w:tcPr>
      <w:shd w:val="clear" w:color="auto" w:fill="E0E0E0"/>
    </w:tcPr>
  </w:style>
  <w:style w:type="paragraph" w:customStyle="1" w:styleId="BulletIndent">
    <w:name w:val="Bullet Indent"/>
    <w:basedOn w:val="Normal"/>
    <w:pPr>
      <w:numPr>
        <w:numId w:val="4"/>
      </w:numPr>
      <w:tabs>
        <w:tab w:val="clear" w:pos="360"/>
        <w:tab w:val="num" w:pos="432"/>
      </w:tabs>
      <w:spacing w:after="180"/>
      <w:ind w:left="432" w:hanging="432"/>
    </w:pPr>
    <w:rPr>
      <w:szCs w:val="20"/>
    </w:rPr>
  </w:style>
  <w:style w:type="paragraph" w:styleId="FootnoteText">
    <w:name w:val="footnote text"/>
    <w:basedOn w:val="Normal"/>
    <w:semiHidden/>
    <w:rPr>
      <w:sz w:val="18"/>
      <w:szCs w:val="20"/>
    </w:rPr>
  </w:style>
  <w:style w:type="paragraph" w:customStyle="1" w:styleId="Formula">
    <w:name w:val="Formula"/>
    <w:basedOn w:val="Normal"/>
    <w:autoRedefine/>
    <w:pPr>
      <w:tabs>
        <w:tab w:val="left" w:pos="2340"/>
        <w:tab w:val="left" w:pos="3420"/>
      </w:tabs>
      <w:spacing w:after="240"/>
      <w:ind w:left="3420" w:hanging="2700"/>
    </w:pPr>
    <w:rPr>
      <w:bCs/>
    </w:rPr>
  </w:style>
  <w:style w:type="paragraph" w:customStyle="1" w:styleId="FormulaBold">
    <w:name w:val="Formula Bold"/>
    <w:basedOn w:val="Normal"/>
    <w:autoRedefine/>
    <w:pPr>
      <w:tabs>
        <w:tab w:val="left" w:pos="2340"/>
        <w:tab w:val="left" w:pos="3420"/>
      </w:tabs>
      <w:spacing w:after="240"/>
      <w:ind w:left="3420" w:hanging="2700"/>
    </w:pPr>
    <w:rPr>
      <w:b/>
      <w:bCs/>
    </w:rPr>
  </w:style>
  <w:style w:type="table" w:customStyle="1" w:styleId="FormulaVariableTable">
    <w:name w:val="Formula Variable Table"/>
    <w:basedOn w:val="TableNormal"/>
    <w:tblPr>
      <w:tblInd w:w="14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blStylePr w:type="firstRow">
      <w:rPr>
        <w:b/>
        <w:i w:val="0"/>
      </w:rPr>
    </w:tblStylePr>
    <w:tblStylePr w:type="firstCol">
      <w:rPr>
        <w:rFonts w:ascii="Times New Roman" w:hAnsi="Times New Roman"/>
      </w:rPr>
      <w:tbl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tcPr>
    </w:tblStylePr>
  </w:style>
  <w:style w:type="paragraph" w:customStyle="1" w:styleId="H2">
    <w:name w:val="H2"/>
    <w:basedOn w:val="Heading2"/>
    <w:next w:val="BodyText"/>
    <w:pPr>
      <w:numPr>
        <w:ilvl w:val="0"/>
        <w:numId w:val="0"/>
      </w:numPr>
      <w:tabs>
        <w:tab w:val="left" w:pos="900"/>
      </w:tabs>
      <w:ind w:left="900" w:hanging="900"/>
    </w:pPr>
  </w:style>
  <w:style w:type="paragraph" w:customStyle="1" w:styleId="H3">
    <w:name w:val="H3"/>
    <w:basedOn w:val="Heading3"/>
    <w:next w:val="BodyText"/>
    <w:pPr>
      <w:numPr>
        <w:ilvl w:val="0"/>
        <w:numId w:val="0"/>
      </w:numPr>
      <w:tabs>
        <w:tab w:val="clear" w:pos="1008"/>
        <w:tab w:val="left" w:pos="1080"/>
      </w:tabs>
      <w:ind w:left="1080" w:hanging="1080"/>
    </w:pPr>
  </w:style>
  <w:style w:type="paragraph" w:customStyle="1" w:styleId="H4">
    <w:name w:val="H4"/>
    <w:basedOn w:val="Heading4"/>
    <w:next w:val="BodyText"/>
    <w:pPr>
      <w:numPr>
        <w:ilvl w:val="0"/>
        <w:numId w:val="0"/>
      </w:numPr>
      <w:tabs>
        <w:tab w:val="clear" w:pos="1296"/>
        <w:tab w:val="left" w:pos="1260"/>
      </w:tabs>
      <w:ind w:left="1260" w:hanging="1260"/>
    </w:pPr>
  </w:style>
  <w:style w:type="paragraph" w:customStyle="1" w:styleId="H5">
    <w:name w:val="H5"/>
    <w:basedOn w:val="Heading5"/>
    <w:next w:val="BodyText"/>
    <w:pPr>
      <w:numPr>
        <w:ilvl w:val="0"/>
        <w:numId w:val="0"/>
      </w:numPr>
      <w:tabs>
        <w:tab w:val="clear" w:pos="1440"/>
        <w:tab w:val="left" w:pos="1620"/>
      </w:tabs>
      <w:ind w:left="1620" w:hanging="1620"/>
    </w:pPr>
  </w:style>
  <w:style w:type="paragraph" w:customStyle="1" w:styleId="H6">
    <w:name w:val="H6"/>
    <w:basedOn w:val="Heading6"/>
    <w:next w:val="BodyText"/>
    <w:pPr>
      <w:numPr>
        <w:ilvl w:val="0"/>
        <w:numId w:val="0"/>
      </w:numPr>
      <w:tabs>
        <w:tab w:val="clear" w:pos="1584"/>
        <w:tab w:val="left" w:pos="1800"/>
      </w:tabs>
      <w:ind w:left="1800" w:hanging="1800"/>
    </w:pPr>
  </w:style>
  <w:style w:type="paragraph" w:customStyle="1" w:styleId="H7">
    <w:name w:val="H7"/>
    <w:basedOn w:val="Heading7"/>
    <w:next w:val="BodyText"/>
    <w:pPr>
      <w:numPr>
        <w:ilvl w:val="0"/>
        <w:numId w:val="0"/>
      </w:numPr>
      <w:tabs>
        <w:tab w:val="clear" w:pos="1728"/>
        <w:tab w:val="left" w:pos="1980"/>
      </w:tabs>
      <w:ind w:left="1980" w:hanging="1980"/>
    </w:pPr>
    <w:rPr>
      <w:b/>
      <w:i/>
    </w:rPr>
  </w:style>
  <w:style w:type="paragraph" w:customStyle="1" w:styleId="H8">
    <w:name w:val="H8"/>
    <w:basedOn w:val="Heading8"/>
    <w:next w:val="BodyText"/>
    <w:pPr>
      <w:numPr>
        <w:ilvl w:val="0"/>
        <w:numId w:val="0"/>
      </w:numPr>
      <w:tabs>
        <w:tab w:val="clear" w:pos="1872"/>
        <w:tab w:val="left" w:pos="2160"/>
      </w:tabs>
      <w:ind w:left="2160" w:hanging="2160"/>
    </w:pPr>
    <w:rPr>
      <w:b/>
      <w:i w:val="0"/>
    </w:rPr>
  </w:style>
  <w:style w:type="paragraph" w:customStyle="1" w:styleId="H9">
    <w:name w:val="H9"/>
    <w:basedOn w:val="Heading9"/>
    <w:next w:val="BodyText"/>
    <w:pPr>
      <w:numPr>
        <w:ilvl w:val="0"/>
        <w:numId w:val="0"/>
      </w:numPr>
      <w:tabs>
        <w:tab w:val="clear" w:pos="2160"/>
        <w:tab w:val="left" w:pos="2340"/>
      </w:tabs>
      <w:ind w:left="2340" w:hanging="2340"/>
    </w:pPr>
    <w:rPr>
      <w:i/>
    </w:rPr>
  </w:style>
  <w:style w:type="paragraph" w:customStyle="1" w:styleId="HeadSub">
    <w:name w:val="Head Sub"/>
    <w:basedOn w:val="BodyText"/>
    <w:next w:val="BodyText"/>
    <w:pPr>
      <w:keepNext/>
      <w:spacing w:before="240"/>
    </w:pPr>
    <w:rPr>
      <w:b/>
      <w:iCs/>
      <w:szCs w:val="20"/>
    </w:rPr>
  </w:style>
  <w:style w:type="paragraph" w:customStyle="1" w:styleId="Instructions">
    <w:name w:val="Instructions"/>
    <w:basedOn w:val="BodyText"/>
    <w:rPr>
      <w:b/>
      <w:i/>
      <w:iCs/>
    </w:rPr>
  </w:style>
  <w:style w:type="paragraph" w:styleId="List">
    <w:name w:val="List"/>
    <w:aliases w:val=" Char2 Char Char Char Char, Char2 Char"/>
    <w:basedOn w:val="Normal"/>
    <w:link w:val="ListChar"/>
    <w:pPr>
      <w:spacing w:after="240"/>
      <w:ind w:left="720" w:hanging="720"/>
    </w:pPr>
    <w:rPr>
      <w:szCs w:val="20"/>
    </w:rPr>
  </w:style>
  <w:style w:type="paragraph" w:styleId="List2">
    <w:name w:val="List 2"/>
    <w:basedOn w:val="Normal"/>
    <w:pPr>
      <w:spacing w:after="240"/>
      <w:ind w:left="1440" w:hanging="720"/>
    </w:pPr>
    <w:rPr>
      <w:szCs w:val="20"/>
    </w:rPr>
  </w:style>
  <w:style w:type="paragraph" w:styleId="List3">
    <w:name w:val="List 3"/>
    <w:basedOn w:val="Normal"/>
    <w:pPr>
      <w:spacing w:after="240"/>
      <w:ind w:left="2160" w:hanging="720"/>
    </w:pPr>
    <w:rPr>
      <w:szCs w:val="20"/>
    </w:rPr>
  </w:style>
  <w:style w:type="paragraph" w:customStyle="1" w:styleId="ListIntroduction">
    <w:name w:val="List Introduction"/>
    <w:basedOn w:val="BodyText"/>
    <w:pPr>
      <w:keepNext/>
    </w:pPr>
    <w:rPr>
      <w:iCs/>
      <w:szCs w:val="20"/>
    </w:rPr>
  </w:style>
  <w:style w:type="paragraph" w:customStyle="1" w:styleId="ListSub">
    <w:name w:val="List Sub"/>
    <w:basedOn w:val="List"/>
    <w:pPr>
      <w:ind w:firstLine="0"/>
    </w:pPr>
  </w:style>
  <w:style w:type="character" w:styleId="PageNumber">
    <w:name w:val="page number"/>
    <w:basedOn w:val="DefaultParagraphFont"/>
  </w:style>
  <w:style w:type="paragraph" w:customStyle="1" w:styleId="Spaceafterbox">
    <w:name w:val="Space after box"/>
    <w:basedOn w:val="Normal"/>
    <w:rPr>
      <w:szCs w:val="20"/>
    </w:rPr>
  </w:style>
  <w:style w:type="paragraph" w:customStyle="1" w:styleId="TableBody">
    <w:name w:val="Table Body"/>
    <w:basedOn w:val="BodyText"/>
    <w:pPr>
      <w:spacing w:after="60"/>
    </w:pPr>
    <w:rPr>
      <w:iCs/>
      <w:sz w:val="20"/>
      <w:szCs w:val="20"/>
    </w:rPr>
  </w:style>
  <w:style w:type="paragraph" w:customStyle="1" w:styleId="TableBullet">
    <w:name w:val="Table Bullet"/>
    <w:basedOn w:val="TableBody"/>
    <w:pPr>
      <w:numPr>
        <w:numId w:val="14"/>
      </w:numPr>
      <w:ind w:left="0" w:firstLine="0"/>
    </w:p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
    <w:name w:val="Table Head"/>
    <w:basedOn w:val="BodyText"/>
    <w:rPr>
      <w:b/>
      <w:iCs/>
      <w:sz w:val="20"/>
      <w:szCs w:val="20"/>
    </w:rPr>
  </w:style>
  <w:style w:type="paragraph" w:styleId="TOC1">
    <w:name w:val="toc 1"/>
    <w:basedOn w:val="Normal"/>
    <w:next w:val="Normal"/>
    <w:autoRedefine/>
    <w:semiHidden/>
    <w:pPr>
      <w:tabs>
        <w:tab w:val="left" w:pos="540"/>
        <w:tab w:val="right" w:leader="dot" w:pos="9360"/>
      </w:tabs>
      <w:spacing w:before="120" w:after="120"/>
      <w:ind w:left="540" w:right="720" w:hanging="540"/>
    </w:pPr>
    <w:rPr>
      <w:b/>
      <w:bCs/>
      <w:i/>
    </w:rPr>
  </w:style>
  <w:style w:type="paragraph" w:styleId="TOC2">
    <w:name w:val="toc 2"/>
    <w:basedOn w:val="Normal"/>
    <w:next w:val="Normal"/>
    <w:autoRedefine/>
    <w:semiHidden/>
    <w:pPr>
      <w:tabs>
        <w:tab w:val="left" w:pos="1260"/>
        <w:tab w:val="right" w:leader="dot" w:pos="9360"/>
      </w:tabs>
      <w:ind w:left="1260" w:right="720" w:hanging="720"/>
    </w:pPr>
    <w:rPr>
      <w:sz w:val="20"/>
      <w:szCs w:val="20"/>
    </w:rPr>
  </w:style>
  <w:style w:type="paragraph" w:styleId="TOC3">
    <w:name w:val="toc 3"/>
    <w:basedOn w:val="Normal"/>
    <w:next w:val="Normal"/>
    <w:autoRedefine/>
    <w:semiHidden/>
    <w:pPr>
      <w:tabs>
        <w:tab w:val="left" w:pos="1980"/>
        <w:tab w:val="right" w:leader="dot" w:pos="9360"/>
      </w:tabs>
      <w:ind w:left="1980" w:right="720" w:hanging="900"/>
    </w:pPr>
    <w:rPr>
      <w:i/>
      <w:iCs/>
      <w:sz w:val="20"/>
      <w:szCs w:val="20"/>
    </w:rPr>
  </w:style>
  <w:style w:type="paragraph" w:styleId="TOC4">
    <w:name w:val="toc 4"/>
    <w:basedOn w:val="Normal"/>
    <w:next w:val="Normal"/>
    <w:autoRedefine/>
    <w:semiHidden/>
    <w:pPr>
      <w:tabs>
        <w:tab w:val="left" w:pos="2700"/>
        <w:tab w:val="right" w:leader="dot" w:pos="9360"/>
      </w:tabs>
      <w:ind w:left="2700" w:right="720" w:hanging="1080"/>
    </w:pPr>
    <w:rPr>
      <w:sz w:val="18"/>
      <w:szCs w:val="18"/>
    </w:rPr>
  </w:style>
  <w:style w:type="paragraph" w:styleId="TOC5">
    <w:name w:val="toc 5"/>
    <w:basedOn w:val="Normal"/>
    <w:next w:val="Normal"/>
    <w:autoRedefine/>
    <w:semiHidden/>
    <w:pPr>
      <w:tabs>
        <w:tab w:val="left" w:pos="3600"/>
        <w:tab w:val="right" w:leader="dot" w:pos="9360"/>
      </w:tabs>
      <w:ind w:left="3600" w:right="720" w:hanging="1260"/>
    </w:pPr>
    <w:rPr>
      <w:i/>
      <w:noProof/>
      <w:sz w:val="18"/>
      <w:szCs w:val="18"/>
    </w:rPr>
  </w:style>
  <w:style w:type="paragraph" w:styleId="TOC6">
    <w:name w:val="toc 6"/>
    <w:basedOn w:val="Normal"/>
    <w:next w:val="Normal"/>
    <w:autoRedefine/>
    <w:semiHidden/>
    <w:pPr>
      <w:tabs>
        <w:tab w:val="left" w:pos="4500"/>
        <w:tab w:val="right" w:leader="dot" w:pos="9360"/>
      </w:tabs>
      <w:ind w:left="4500" w:right="720" w:hanging="1440"/>
    </w:pPr>
    <w:rPr>
      <w:sz w:val="18"/>
      <w:szCs w:val="18"/>
    </w:rPr>
  </w:style>
  <w:style w:type="paragraph" w:styleId="TOC7">
    <w:name w:val="toc 7"/>
    <w:basedOn w:val="Normal"/>
    <w:next w:val="Normal"/>
    <w:autoRedefine/>
    <w:semiHidden/>
    <w:pPr>
      <w:tabs>
        <w:tab w:val="left" w:pos="5400"/>
        <w:tab w:val="right" w:leader="dot" w:pos="9360"/>
      </w:tabs>
      <w:ind w:left="5400" w:right="720" w:hanging="1620"/>
    </w:pPr>
    <w:rPr>
      <w:i/>
      <w:noProof/>
      <w:sz w:val="18"/>
      <w:szCs w:val="18"/>
    </w:rPr>
  </w:style>
  <w:style w:type="paragraph" w:styleId="TOC8">
    <w:name w:val="toc 8"/>
    <w:basedOn w:val="Normal"/>
    <w:next w:val="Normal"/>
    <w:autoRedefine/>
    <w:semiHidden/>
    <w:pPr>
      <w:ind w:left="1680"/>
    </w:pPr>
    <w:rPr>
      <w:sz w:val="18"/>
      <w:szCs w:val="18"/>
    </w:rPr>
  </w:style>
  <w:style w:type="paragraph" w:styleId="TOC9">
    <w:name w:val="toc 9"/>
    <w:basedOn w:val="Normal"/>
    <w:next w:val="Normal"/>
    <w:autoRedefine/>
    <w:semiHidden/>
    <w:pPr>
      <w:ind w:left="1920"/>
    </w:pPr>
    <w:rPr>
      <w:sz w:val="18"/>
      <w:szCs w:val="18"/>
    </w:rPr>
  </w:style>
  <w:style w:type="paragraph" w:customStyle="1" w:styleId="VariableDefinition">
    <w:name w:val="Variable Definition"/>
    <w:basedOn w:val="BodyTextIndent"/>
    <w:pPr>
      <w:tabs>
        <w:tab w:val="left" w:pos="2160"/>
      </w:tabs>
      <w:ind w:left="2160" w:hanging="1440"/>
      <w:contextualSpacing/>
    </w:pPr>
  </w:style>
  <w:style w:type="table" w:customStyle="1" w:styleId="VariableTable">
    <w:name w:val="Variable Table"/>
    <w:basedOn w:val="TableNormal"/>
    <w:tbl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character" w:customStyle="1" w:styleId="NormalArialChar">
    <w:name w:val="Normal+Arial Char"/>
    <w:link w:val="NormalArial"/>
    <w:rPr>
      <w:rFonts w:ascii="Arial" w:hAnsi="Arial"/>
      <w:sz w:val="24"/>
      <w:szCs w:val="24"/>
      <w:lang w:val="en-US" w:eastAsia="en-US" w:bidi="ar-SA"/>
    </w:rPr>
  </w:style>
  <w:style w:type="character" w:styleId="FollowedHyperlink">
    <w:name w:val="FollowedHyperlink"/>
    <w:rsid w:val="007E0452"/>
    <w:rPr>
      <w:color w:val="800080"/>
      <w:u w:val="single"/>
    </w:rPr>
  </w:style>
  <w:style w:type="paragraph" w:styleId="NormalWeb">
    <w:name w:val="Normal (Web)"/>
    <w:basedOn w:val="Normal"/>
    <w:uiPriority w:val="99"/>
    <w:unhideWhenUsed/>
    <w:rsid w:val="0059260F"/>
    <w:pPr>
      <w:spacing w:before="100" w:beforeAutospacing="1" w:after="100" w:afterAutospacing="1"/>
    </w:pPr>
  </w:style>
  <w:style w:type="character" w:customStyle="1" w:styleId="ListChar">
    <w:name w:val="List Char"/>
    <w:aliases w:val=" Char2 Char Char Char Char Char, Char2 Char Char"/>
    <w:link w:val="List"/>
    <w:rsid w:val="00F05A69"/>
    <w:rPr>
      <w:sz w:val="24"/>
    </w:rPr>
  </w:style>
  <w:style w:type="paragraph" w:styleId="Revision">
    <w:name w:val="Revision"/>
    <w:hidden/>
    <w:uiPriority w:val="99"/>
    <w:semiHidden/>
    <w:rsid w:val="000D3E64"/>
    <w:rPr>
      <w:sz w:val="24"/>
      <w:szCs w:val="24"/>
    </w:rPr>
  </w:style>
  <w:style w:type="character" w:styleId="UnresolvedMention">
    <w:name w:val="Unresolved Mention"/>
    <w:basedOn w:val="DefaultParagraphFont"/>
    <w:uiPriority w:val="99"/>
    <w:semiHidden/>
    <w:unhideWhenUsed/>
    <w:rsid w:val="008C429A"/>
    <w:rPr>
      <w:color w:val="605E5C"/>
      <w:shd w:val="clear" w:color="auto" w:fill="E1DFDD"/>
    </w:rPr>
  </w:style>
  <w:style w:type="character" w:customStyle="1" w:styleId="normaltextrun">
    <w:name w:val="normaltextrun"/>
    <w:basedOn w:val="DefaultParagraphFont"/>
    <w:rsid w:val="00827A78"/>
  </w:style>
  <w:style w:type="character" w:customStyle="1" w:styleId="eop">
    <w:name w:val="eop"/>
    <w:basedOn w:val="DefaultParagraphFont"/>
    <w:rsid w:val="00827A78"/>
  </w:style>
  <w:style w:type="character" w:styleId="Mention">
    <w:name w:val="Mention"/>
    <w:basedOn w:val="DefaultParagraphFont"/>
    <w:uiPriority w:val="99"/>
    <w:unhideWhenUsed/>
    <w:rsid w:val="00E523EE"/>
    <w:rPr>
      <w:color w:val="2B579A"/>
      <w:shd w:val="clear" w:color="auto" w:fill="E1DFDD"/>
    </w:rPr>
  </w:style>
  <w:style w:type="character" w:customStyle="1" w:styleId="HeaderChar">
    <w:name w:val="Header Char"/>
    <w:basedOn w:val="DefaultParagraphFont"/>
    <w:link w:val="Header"/>
    <w:rsid w:val="00A06E64"/>
    <w:rPr>
      <w:rFonts w:ascii="Arial" w:hAnsi="Arial"/>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8852281">
      <w:bodyDiv w:val="1"/>
      <w:marLeft w:val="0"/>
      <w:marRight w:val="0"/>
      <w:marTop w:val="0"/>
      <w:marBottom w:val="0"/>
      <w:divBdr>
        <w:top w:val="none" w:sz="0" w:space="0" w:color="auto"/>
        <w:left w:val="none" w:sz="0" w:space="0" w:color="auto"/>
        <w:bottom w:val="none" w:sz="0" w:space="0" w:color="auto"/>
        <w:right w:val="none" w:sz="0" w:space="0" w:color="auto"/>
      </w:divBdr>
    </w:div>
    <w:div w:id="523448469">
      <w:bodyDiv w:val="1"/>
      <w:marLeft w:val="0"/>
      <w:marRight w:val="0"/>
      <w:marTop w:val="0"/>
      <w:marBottom w:val="0"/>
      <w:divBdr>
        <w:top w:val="none" w:sz="0" w:space="0" w:color="auto"/>
        <w:left w:val="none" w:sz="0" w:space="0" w:color="auto"/>
        <w:bottom w:val="none" w:sz="0" w:space="0" w:color="auto"/>
        <w:right w:val="none" w:sz="0" w:space="0" w:color="auto"/>
      </w:divBdr>
    </w:div>
    <w:div w:id="564074370">
      <w:bodyDiv w:val="1"/>
      <w:marLeft w:val="0"/>
      <w:marRight w:val="0"/>
      <w:marTop w:val="0"/>
      <w:marBottom w:val="0"/>
      <w:divBdr>
        <w:top w:val="none" w:sz="0" w:space="0" w:color="auto"/>
        <w:left w:val="none" w:sz="0" w:space="0" w:color="auto"/>
        <w:bottom w:val="none" w:sz="0" w:space="0" w:color="auto"/>
        <w:right w:val="none" w:sz="0" w:space="0" w:color="auto"/>
      </w:divBdr>
    </w:div>
    <w:div w:id="1377780115">
      <w:bodyDiv w:val="1"/>
      <w:marLeft w:val="0"/>
      <w:marRight w:val="0"/>
      <w:marTop w:val="0"/>
      <w:marBottom w:val="0"/>
      <w:divBdr>
        <w:top w:val="none" w:sz="0" w:space="0" w:color="auto"/>
        <w:left w:val="none" w:sz="0" w:space="0" w:color="auto"/>
        <w:bottom w:val="none" w:sz="0" w:space="0" w:color="auto"/>
        <w:right w:val="none" w:sz="0" w:space="0" w:color="auto"/>
      </w:divBdr>
    </w:div>
    <w:div w:id="1516924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ontrol" Target="activeX/activeX1.xml"/><Relationship Id="rId18" Type="http://schemas.openxmlformats.org/officeDocument/2006/relationships/control" Target="activeX/activeX3.xml"/><Relationship Id="rId26" Type="http://schemas.microsoft.com/office/2011/relationships/commentsExtended" Target="commentsExtended.xml"/><Relationship Id="rId3" Type="http://schemas.openxmlformats.org/officeDocument/2006/relationships/customXml" Target="../customXml/item3.xml"/><Relationship Id="rId21" Type="http://schemas.openxmlformats.org/officeDocument/2006/relationships/control" Target="activeX/activeX5.xml"/><Relationship Id="rId34" Type="http://schemas.microsoft.com/office/2011/relationships/people" Target="people.xml"/><Relationship Id="rId7" Type="http://schemas.openxmlformats.org/officeDocument/2006/relationships/settings" Target="settings.xml"/><Relationship Id="rId12" Type="http://schemas.openxmlformats.org/officeDocument/2006/relationships/image" Target="media/image1.wmf"/><Relationship Id="rId17" Type="http://schemas.openxmlformats.org/officeDocument/2006/relationships/hyperlink" Target="https://www.ercot.com/files/docs/2023/08/25/ERCOT-Strategic-Plan-2024-2028.pdf" TargetMode="External"/><Relationship Id="rId25" Type="http://schemas.openxmlformats.org/officeDocument/2006/relationships/comments" Target="comments.xm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ontrol" Target="activeX/activeX2.xml"/><Relationship Id="rId20" Type="http://schemas.openxmlformats.org/officeDocument/2006/relationships/control" Target="activeX/activeX4.xm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rcot.com/mktrules/issues/VCMRR042" TargetMode="External"/><Relationship Id="rId24" Type="http://schemas.openxmlformats.org/officeDocument/2006/relationships/hyperlink" Target="mailto:Brittney.Albracht@ercot.com" TargetMode="External"/><Relationship Id="rId32"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image" Target="media/image2.wmf"/><Relationship Id="rId23" Type="http://schemas.openxmlformats.org/officeDocument/2006/relationships/hyperlink" Target="mailto:katie.rich@vistracorp.com" TargetMode="External"/><Relationship Id="rId28" Type="http://schemas.microsoft.com/office/2018/08/relationships/commentsExtensible" Target="commentsExtensible.xml"/><Relationship Id="rId10" Type="http://schemas.openxmlformats.org/officeDocument/2006/relationships/endnotes" Target="endnotes.xml"/><Relationship Id="rId19" Type="http://schemas.openxmlformats.org/officeDocument/2006/relationships/hyperlink" Target="https://www.ercot.com/files/docs/2023/08/25/ERCOT-Strategic-Plan-2024-2028.pdf" TargetMode="External"/><Relationship Id="rId31"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rcot.com/files/docs/2023/08/25/ERCOT-Strategic-Plan-2024-2028.pdf" TargetMode="External"/><Relationship Id="rId22" Type="http://schemas.openxmlformats.org/officeDocument/2006/relationships/control" Target="activeX/activeX6.xml"/><Relationship Id="rId27" Type="http://schemas.microsoft.com/office/2016/09/relationships/commentsIds" Target="commentsIds.xml"/><Relationship Id="rId30" Type="http://schemas.openxmlformats.org/officeDocument/2006/relationships/footer" Target="footer1.xml"/><Relationship Id="rId35" Type="http://schemas.openxmlformats.org/officeDocument/2006/relationships/theme" Target="theme/theme1.xml"/><Relationship Id="rId8" Type="http://schemas.openxmlformats.org/officeDocument/2006/relationships/webSettings" Target="webSetting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activeX/activeX6.xml><?xml version="1.0" encoding="utf-8"?>
<ax:ocx xmlns:ax="http://schemas.microsoft.com/office/2006/activeX" xmlns:r="http://schemas.openxmlformats.org/officeDocument/2006/relationships" ax:classid="{8BD21D1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BEBFEBFDFFD3847B45188E2352039EE" ma:contentTypeVersion="4" ma:contentTypeDescription="Create a new document." ma:contentTypeScope="" ma:versionID="730522b9ceea1d96c11dfeadb37df5dc">
  <xsd:schema xmlns:xsd="http://www.w3.org/2001/XMLSchema" xmlns:xs="http://www.w3.org/2001/XMLSchema" xmlns:p="http://schemas.microsoft.com/office/2006/metadata/properties" xmlns:ns2="0e7f0178-c4f6-49ef-8e27-5f2d3e0fd230" targetNamespace="http://schemas.microsoft.com/office/2006/metadata/properties" ma:root="true" ma:fieldsID="1c50dbe5b11429fb3bb5ffce8ceea063" ns2:_="">
    <xsd:import namespace="0e7f0178-c4f6-49ef-8e27-5f2d3e0fd2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7f0178-c4f6-49ef-8e27-5f2d3e0fd2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FB408F8-5140-41A1-A94F-8AA76E5A1A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7f0178-c4f6-49ef-8e27-5f2d3e0fd2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949E4E3-C7C3-426F-B478-8E9E395B25E1}">
  <ds:schemaRefs>
    <ds:schemaRef ds:uri="http://schemas.microsoft.com/sharepoint/v3/contenttype/forms"/>
  </ds:schemaRefs>
</ds:datastoreItem>
</file>

<file path=customXml/itemProps3.xml><?xml version="1.0" encoding="utf-8"?>
<ds:datastoreItem xmlns:ds="http://schemas.openxmlformats.org/officeDocument/2006/customXml" ds:itemID="{0C909819-B757-4DC7-AE18-0F7585CAED81}">
  <ds:schemaRefs>
    <ds:schemaRef ds:uri="http://schemas.openxmlformats.org/officeDocument/2006/bibliography"/>
  </ds:schemaRefs>
</ds:datastoreItem>
</file>

<file path=customXml/itemProps4.xml><?xml version="1.0" encoding="utf-8"?>
<ds:datastoreItem xmlns:ds="http://schemas.openxmlformats.org/officeDocument/2006/customXml" ds:itemID="{72D6FE70-D293-4963-ADB7-4DF37E02A61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9</Pages>
  <Words>2295</Words>
  <Characters>13683</Characters>
  <Application>Microsoft Office Word</Application>
  <DocSecurity>0</DocSecurity>
  <Lines>114</Lines>
  <Paragraphs>31</Paragraphs>
  <ScaleCrop>false</ScaleCrop>
  <HeadingPairs>
    <vt:vector size="2" baseType="variant">
      <vt:variant>
        <vt:lpstr>Title</vt:lpstr>
      </vt:variant>
      <vt:variant>
        <vt:i4>1</vt:i4>
      </vt:variant>
    </vt:vector>
  </HeadingPairs>
  <TitlesOfParts>
    <vt:vector size="1" baseType="lpstr">
      <vt:lpstr>Protocols Workshop</vt:lpstr>
    </vt:vector>
  </TitlesOfParts>
  <Company>Hewlett-Packard Company</Company>
  <LinksUpToDate>false</LinksUpToDate>
  <CharactersWithSpaces>15947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Protocols Workshop</dc:title>
  <dc:subject/>
  <dc:creator>Jim Street</dc:creator>
  <cp:keywords/>
  <cp:lastModifiedBy>ERCOT Market Rules</cp:lastModifiedBy>
  <cp:revision>5</cp:revision>
  <cp:lastPrinted>2013-11-15T22:11:00Z</cp:lastPrinted>
  <dcterms:created xsi:type="dcterms:W3CDTF">2024-07-23T21:45:00Z</dcterms:created>
  <dcterms:modified xsi:type="dcterms:W3CDTF">2024-07-23T22:16:00Z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084cbda-52b8-46fb-a7b7-cb5bd465ed85_Enabled">
    <vt:lpwstr>true</vt:lpwstr>
  </property>
  <property fmtid="{D5CDD505-2E9C-101B-9397-08002B2CF9AE}" pid="3" name="MSIP_Label_7084cbda-52b8-46fb-a7b7-cb5bd465ed85_SetDate">
    <vt:lpwstr>2023-12-28T15:36:55Z</vt:lpwstr>
  </property>
  <property fmtid="{D5CDD505-2E9C-101B-9397-08002B2CF9AE}" pid="4" name="MSIP_Label_7084cbda-52b8-46fb-a7b7-cb5bd465ed85_Method">
    <vt:lpwstr>Standard</vt:lpwstr>
  </property>
  <property fmtid="{D5CDD505-2E9C-101B-9397-08002B2CF9AE}" pid="5" name="MSIP_Label_7084cbda-52b8-46fb-a7b7-cb5bd465ed85_Name">
    <vt:lpwstr>Internal</vt:lpwstr>
  </property>
  <property fmtid="{D5CDD505-2E9C-101B-9397-08002B2CF9AE}" pid="6" name="MSIP_Label_7084cbda-52b8-46fb-a7b7-cb5bd465ed85_SiteId">
    <vt:lpwstr>0afb747d-bff7-4596-a9fc-950ef9e0ec45</vt:lpwstr>
  </property>
  <property fmtid="{D5CDD505-2E9C-101B-9397-08002B2CF9AE}" pid="7" name="MSIP_Label_7084cbda-52b8-46fb-a7b7-cb5bd465ed85_ActionId">
    <vt:lpwstr>4170f2c6-4f26-4254-95e1-86679c9b4ace</vt:lpwstr>
  </property>
  <property fmtid="{D5CDD505-2E9C-101B-9397-08002B2CF9AE}" pid="8" name="MSIP_Label_7084cbda-52b8-46fb-a7b7-cb5bd465ed85_ContentBits">
    <vt:lpwstr>0</vt:lpwstr>
  </property>
  <property fmtid="{D5CDD505-2E9C-101B-9397-08002B2CF9AE}" pid="9" name="ContentTypeId">
    <vt:lpwstr>0x0101004BEBFEBFDFFD3847B45188E2352039EE</vt:lpwstr>
  </property>
</Properties>
</file>